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‹Illustrative migration› — assumptions readout</w:t>
      </w:r>
    </w:p>
    <w:p>
      <w:r>
        <w:rPr>
          <w:color w:val="888B8D"/>
        </w:rPr>
        <w:t>As of 2026-10-06 · Archetype C · Departure platform → arrival platform · Phase 1: ‹markets›, ‹date› · phase 2: ‹markets›, ‹date›</w:t>
      </w:r>
    </w:p>
    <w:p>
      <w:pPr>
        <w:pStyle w:val="Heading1"/>
      </w:pPr>
      <w:r>
        <w:t>1. Headline</w:t>
      </w:r>
    </w:p>
    <w:p>
      <w:r>
        <w:t>The plan is 132 FTE against a departure baseline of 104 (+28), built from the client's own history and the differences called on the grid.</w:t>
      </w:r>
    </w:p>
    <w:p>
      <w:r>
        <w:t>The open assumptions keep it a range rather than a point. Taken one at a time, the five most uncertain move the plan by between −12 and +14 FTE; if all five broke the same way, by −43 to +48. The one to confirm first is contacts per transaction, by country (R1, −10 / +12, Asserted).</w:t>
      </w:r>
    </w:p>
    <w:p>
      <w:r>
        <w:t>3 problems need action before go-live, 6 differences are carried in the plan as Watch, and 2 values are not yet held. 13 clarifying questions are open; 7 of 16 mandatory rows for the declared archetype are still empty.</w:t>
      </w:r>
    </w:p>
    <w:p>
      <w:pPr>
        <w:pStyle w:val="Heading1"/>
      </w:pPr>
      <w:r>
        <w:t>2. How the number was built</w:t>
      </w:r>
    </w:p>
    <w:p>
      <w:r>
        <w:t>Departure baseline: 104 FTE — Client's own history for the migrating markets, pre-migration months only.</w:t>
      </w:r>
    </w:p>
    <w:tbl>
      <w:tblPr>
        <w:tblStyle w:val="LightGrid-Accent1"/>
        <w:tblW w:type="auto" w:w="0"/>
        <w:tblLook w:firstColumn="1" w:firstRow="1" w:lastColumn="0" w:lastRow="0" w:noHBand="0" w:noVBand="1" w:val="04A0"/>
      </w:tblPr>
      <w:tblGrid>
        <w:gridCol w:w="4320"/>
        <w:gridCol w:w="4320"/>
      </w:tblGrid>
      <w:tr>
        <w:tc>
          <w:tcPr>
            <w:tcW w:type="dxa" w:w="4320"/>
          </w:tcPr>
          <w:p>
            <w:r>
              <w:rPr>
                <w:sz w:val="17"/>
              </w:rPr>
              <w:t>Approach question</w:t>
            </w:r>
          </w:p>
        </w:tc>
        <w:tc>
          <w:tcPr>
            <w:tcW w:type="dxa" w:w="4320"/>
          </w:tcPr>
          <w:p>
            <w:r>
              <w:rPr>
                <w:sz w:val="17"/>
              </w:rPr>
              <w:t>Answer</w:t>
            </w:r>
          </w:p>
        </w:tc>
      </w:tr>
      <w:tr>
        <w:tc>
          <w:tcPr>
            <w:tcW w:type="dxa" w:w="4320"/>
          </w:tcPr>
          <w:p>
            <w:r>
              <w:rPr>
                <w:sz w:val="17"/>
              </w:rPr>
              <w:t>Contacts per transaction: rate, denominator, source</w:t>
            </w:r>
          </w:p>
        </w:tc>
        <w:tc>
          <w:tcPr>
            <w:tcW w:type="dxa" w:w="4320"/>
          </w:tcPr>
          <w:p>
            <w:r>
              <w:rPr>
                <w:sz w:val="17"/>
              </w:rPr>
              <w:t>0.31 per transaction from the client's own pre-migration months; denominator is transactions, not customers</w:t>
            </w:r>
          </w:p>
        </w:tc>
      </w:tr>
      <w:tr>
        <w:tc>
          <w:tcPr>
            <w:tcW w:type="dxa" w:w="4320"/>
          </w:tcPr>
          <w:p>
            <w:r>
              <w:rPr>
                <w:sz w:val="17"/>
              </w:rPr>
              <w:t>Broken to country level?</w:t>
            </w:r>
          </w:p>
        </w:tc>
        <w:tc>
          <w:tcPr>
            <w:tcW w:type="dxa" w:w="4320"/>
          </w:tcPr>
          <w:p>
            <w:r>
              <w:rPr>
                <w:sz w:val="17"/>
              </w:rPr>
              <w:t>Yes, by country</w:t>
            </w:r>
          </w:p>
        </w:tc>
      </w:tr>
      <w:tr>
        <w:tc>
          <w:tcPr>
            <w:tcW w:type="dxa" w:w="4320"/>
          </w:tcPr>
          <w:p>
            <w:r>
              <w:rPr>
                <w:sz w:val="17"/>
              </w:rPr>
              <w:t>Departure data: what we hold, and how clean</w:t>
            </w:r>
          </w:p>
        </w:tc>
        <w:tc>
          <w:tcPr>
            <w:tcW w:type="dxa" w:w="4320"/>
          </w:tcPr>
          <w:p>
            <w:r>
              <w:rPr>
                <w:sz w:val="17"/>
              </w:rPr>
              <w:t>Twelve months held; two months contaminated by an outage</w:t>
            </w:r>
          </w:p>
        </w:tc>
      </w:tr>
      <w:tr>
        <w:tc>
          <w:tcPr>
            <w:tcW w:type="dxa" w:w="4320"/>
          </w:tcPr>
          <w:p>
            <w:r>
              <w:rPr>
                <w:sz w:val="17"/>
              </w:rPr>
              <w:t>Channel split today → expected</w:t>
            </w:r>
          </w:p>
        </w:tc>
        <w:tc>
          <w:tcPr>
            <w:tcW w:type="dxa" w:w="4320"/>
          </w:tcPr>
          <w:p>
            <w:r>
              <w:rPr>
                <w:sz w:val="17"/>
              </w:rPr>
              <w:t>Chat 38% today → 45% expected (chat becomes the default)</w:t>
            </w:r>
          </w:p>
        </w:tc>
      </w:tr>
      <w:tr>
        <w:tc>
          <w:tcPr>
            <w:tcW w:type="dxa" w:w="4320"/>
          </w:tcPr>
          <w:p>
            <w:r>
              <w:rPr>
                <w:sz w:val="17"/>
              </w:rPr>
              <w:t>Seasonality: does the client's own shape hold?</w:t>
            </w:r>
          </w:p>
        </w:tc>
        <w:tc>
          <w:tcPr>
            <w:tcW w:type="dxa" w:w="4320"/>
          </w:tcPr>
          <w:p>
            <w:r>
              <w:rPr>
                <w:sz w:val="17"/>
              </w:rPr>
              <w:t>Assumed to hold; Q1 peak carried across</w:t>
            </w:r>
          </w:p>
        </w:tc>
      </w:tr>
      <w:tr>
        <w:tc>
          <w:tcPr>
            <w:tcW w:type="dxa" w:w="4320"/>
          </w:tcPr>
          <w:p>
            <w:r>
              <w:rPr>
                <w:sz w:val="17"/>
              </w:rPr>
              <w:t>What we deliberately did not model, and why</w:t>
            </w:r>
          </w:p>
        </w:tc>
        <w:tc>
          <w:tcPr>
            <w:tcW w:type="dxa" w:w="4320"/>
          </w:tcPr>
          <w:p>
            <w:r>
              <w:rPr>
                <w:sz w:val="17"/>
              </w:rPr>
              <w:t>Concurrency above one: not offered at arrival</w:t>
            </w:r>
          </w:p>
        </w:tc>
      </w:tr>
    </w:tbl>
    <w:p>
      <w:r>
        <w:t>Mandatory rows still empty (7 of 16): #2 What moves: markets or countries, populations, phases and dates; #7 Transaction volume, and its definition on both sides; #20 Channel usage share; #22 Entry points, caller identification and security time; #24 Channel usage share and turnaround target; #26 AHT baseline by channel and country, from the client's own history; #35 Incoming plan laid against the outgoing plan before go-live. Each has an open question in section 6.</w:t>
      </w:r>
    </w:p>
    <w:p>
      <w:pPr>
        <w:pStyle w:val="Heading1"/>
      </w:pPr>
      <w:r>
        <w:t>3. Bridge and sensitivity</w:t>
      </w:r>
    </w:p>
    <w:p>
      <w:r>
        <w:drawing>
          <wp:inline xmlns:a="http://schemas.openxmlformats.org/drawingml/2006/main" xmlns:pic="http://schemas.openxmlformats.org/drawingml/2006/picture">
            <wp:extent cx="5669280" cy="283464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669280" cy="2834640"/>
                    </a:xfrm>
                    <a:prstGeom prst="rect"/>
                  </pic:spPr>
                </pic:pic>
              </a:graphicData>
            </a:graphic>
          </wp:inline>
        </w:drawing>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sz w:val="17"/>
              </w:rPr>
              <w:t>Step</w:t>
            </w:r>
          </w:p>
        </w:tc>
        <w:tc>
          <w:tcPr>
            <w:tcW w:type="dxa" w:w="2880"/>
          </w:tcPr>
          <w:p>
            <w:r>
              <w:rPr>
                <w:sz w:val="17"/>
              </w:rPr>
              <w:t>FTE</w:t>
            </w:r>
          </w:p>
        </w:tc>
        <w:tc>
          <w:tcPr>
            <w:tcW w:type="dxa" w:w="2880"/>
          </w:tcPr>
          <w:p>
            <w:r>
              <w:rPr>
                <w:sz w:val="17"/>
              </w:rPr>
              <w:t>Running total</w:t>
            </w:r>
          </w:p>
        </w:tc>
      </w:tr>
      <w:tr>
        <w:tc>
          <w:tcPr>
            <w:tcW w:type="dxa" w:w="2880"/>
          </w:tcPr>
          <w:p>
            <w:r>
              <w:rPr>
                <w:sz w:val="17"/>
              </w:rPr>
              <w:t>baseline</w:t>
            </w:r>
          </w:p>
        </w:tc>
        <w:tc>
          <w:tcPr>
            <w:tcW w:type="dxa" w:w="2880"/>
          </w:tcPr>
          <w:p>
            <w:r>
              <w:rPr>
                <w:sz w:val="17"/>
              </w:rPr>
            </w:r>
          </w:p>
        </w:tc>
        <w:tc>
          <w:tcPr>
            <w:tcW w:type="dxa" w:w="2880"/>
          </w:tcPr>
          <w:p>
            <w:r>
              <w:rPr>
                <w:sz w:val="17"/>
              </w:rPr>
              <w:t>104</w:t>
            </w:r>
          </w:p>
        </w:tc>
      </w:tr>
      <w:tr>
        <w:tc>
          <w:tcPr>
            <w:tcW w:type="dxa" w:w="2880"/>
          </w:tcPr>
          <w:p>
            <w:r>
              <w:rPr>
                <w:sz w:val="17"/>
              </w:rPr>
              <w:t>season</w:t>
            </w:r>
          </w:p>
        </w:tc>
        <w:tc>
          <w:tcPr>
            <w:tcW w:type="dxa" w:w="2880"/>
          </w:tcPr>
          <w:p>
            <w:r>
              <w:rPr>
                <w:sz w:val="17"/>
              </w:rPr>
              <w:t>+8</w:t>
            </w:r>
          </w:p>
        </w:tc>
        <w:tc>
          <w:tcPr>
            <w:tcW w:type="dxa" w:w="2880"/>
          </w:tcPr>
          <w:p>
            <w:r>
              <w:rPr>
                <w:sz w:val="17"/>
              </w:rPr>
              <w:t>112</w:t>
            </w:r>
          </w:p>
        </w:tc>
      </w:tr>
      <w:tr>
        <w:tc>
          <w:tcPr>
            <w:tcW w:type="dxa" w:w="2880"/>
          </w:tcPr>
          <w:p>
            <w:r>
              <w:rPr>
                <w:sz w:val="17"/>
              </w:rPr>
              <w:t>mix</w:t>
            </w:r>
          </w:p>
        </w:tc>
        <w:tc>
          <w:tcPr>
            <w:tcW w:type="dxa" w:w="2880"/>
          </w:tcPr>
          <w:p>
            <w:r>
              <w:rPr>
                <w:sz w:val="17"/>
              </w:rPr>
              <w:t>+4</w:t>
            </w:r>
          </w:p>
        </w:tc>
        <w:tc>
          <w:tcPr>
            <w:tcW w:type="dxa" w:w="2880"/>
          </w:tcPr>
          <w:p>
            <w:r>
              <w:rPr>
                <w:sz w:val="17"/>
              </w:rPr>
              <w:t>116</w:t>
            </w:r>
          </w:p>
        </w:tc>
      </w:tr>
      <w:tr>
        <w:tc>
          <w:tcPr>
            <w:tcW w:type="dxa" w:w="2880"/>
          </w:tcPr>
          <w:p>
            <w:r>
              <w:rPr>
                <w:sz w:val="17"/>
              </w:rPr>
              <w:t>CPT</w:t>
            </w:r>
          </w:p>
        </w:tc>
        <w:tc>
          <w:tcPr>
            <w:tcW w:type="dxa" w:w="2880"/>
          </w:tcPr>
          <w:p>
            <w:r>
              <w:rPr>
                <w:sz w:val="17"/>
              </w:rPr>
              <w:t>+10</w:t>
            </w:r>
          </w:p>
        </w:tc>
        <w:tc>
          <w:tcPr>
            <w:tcW w:type="dxa" w:w="2880"/>
          </w:tcPr>
          <w:p>
            <w:r>
              <w:rPr>
                <w:sz w:val="17"/>
              </w:rPr>
              <w:t>126</w:t>
            </w:r>
          </w:p>
        </w:tc>
      </w:tr>
      <w:tr>
        <w:tc>
          <w:tcPr>
            <w:tcW w:type="dxa" w:w="2880"/>
          </w:tcPr>
          <w:p>
            <w:r>
              <w:rPr>
                <w:sz w:val="17"/>
              </w:rPr>
              <w:t>AHT</w:t>
            </w:r>
          </w:p>
        </w:tc>
        <w:tc>
          <w:tcPr>
            <w:tcW w:type="dxa" w:w="2880"/>
          </w:tcPr>
          <w:p>
            <w:r>
              <w:rPr>
                <w:sz w:val="17"/>
              </w:rPr>
              <w:t>+6</w:t>
            </w:r>
          </w:p>
        </w:tc>
        <w:tc>
          <w:tcPr>
            <w:tcW w:type="dxa" w:w="2880"/>
          </w:tcPr>
          <w:p>
            <w:r>
              <w:rPr>
                <w:sz w:val="17"/>
              </w:rPr>
              <w:t>132</w:t>
            </w:r>
          </w:p>
        </w:tc>
      </w:tr>
      <w:tr>
        <w:tc>
          <w:tcPr>
            <w:tcW w:type="dxa" w:w="2880"/>
          </w:tcPr>
          <w:p>
            <w:r>
              <w:rPr>
                <w:sz w:val="17"/>
              </w:rPr>
              <w:t>plan</w:t>
            </w:r>
          </w:p>
        </w:tc>
        <w:tc>
          <w:tcPr>
            <w:tcW w:type="dxa" w:w="2880"/>
          </w:tcPr>
          <w:p>
            <w:r>
              <w:rPr>
                <w:sz w:val="17"/>
              </w:rPr>
            </w:r>
          </w:p>
        </w:tc>
        <w:tc>
          <w:tcPr>
            <w:tcW w:type="dxa" w:w="2880"/>
          </w:tcPr>
          <w:p>
            <w:r>
              <w:rPr>
                <w:sz w:val="17"/>
              </w:rPr>
              <w:t>132</w:t>
            </w:r>
          </w:p>
        </w:tc>
      </w:tr>
    </w:tbl>
    <w:p>
      <w:r>
        <w:drawing>
          <wp:inline xmlns:a="http://schemas.openxmlformats.org/drawingml/2006/main" xmlns:pic="http://schemas.openxmlformats.org/drawingml/2006/picture">
            <wp:extent cx="5669280" cy="2657475"/>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669280" cy="2657475"/>
                    </a:xfrm>
                    <a:prstGeom prst="rect"/>
                  </pic:spPr>
                </pic:pic>
              </a:graphicData>
            </a:graphic>
          </wp:inline>
        </w:drawing>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sz w:val="17"/>
              </w:rPr>
              <w:t>R</w:t>
            </w:r>
          </w:p>
        </w:tc>
        <w:tc>
          <w:tcPr>
            <w:tcW w:type="dxa" w:w="1440"/>
          </w:tcPr>
          <w:p>
            <w:r>
              <w:rPr>
                <w:sz w:val="17"/>
              </w:rPr>
              <w:t>Characteristic</w:t>
            </w:r>
          </w:p>
        </w:tc>
        <w:tc>
          <w:tcPr>
            <w:tcW w:type="dxa" w:w="1440"/>
          </w:tcPr>
          <w:p>
            <w:r>
              <w:rPr>
                <w:sz w:val="17"/>
              </w:rPr>
              <w:t>Low</w:t>
            </w:r>
          </w:p>
        </w:tc>
        <w:tc>
          <w:tcPr>
            <w:tcW w:type="dxa" w:w="1440"/>
          </w:tcPr>
          <w:p>
            <w:r>
              <w:rPr>
                <w:sz w:val="17"/>
              </w:rPr>
              <w:t>High</w:t>
            </w:r>
          </w:p>
        </w:tc>
        <w:tc>
          <w:tcPr>
            <w:tcW w:type="dxa" w:w="1440"/>
          </w:tcPr>
          <w:p>
            <w:r>
              <w:rPr>
                <w:sz w:val="17"/>
              </w:rPr>
              <w:t>Evidence</w:t>
            </w:r>
          </w:p>
        </w:tc>
        <w:tc>
          <w:tcPr>
            <w:tcW w:type="dxa" w:w="1440"/>
          </w:tcPr>
          <w:p>
            <w:r>
              <w:rPr>
                <w:sz w:val="17"/>
              </w:rPr>
              <w:t>Score</w:t>
            </w:r>
          </w:p>
        </w:tc>
      </w:tr>
      <w:tr>
        <w:tc>
          <w:tcPr>
            <w:tcW w:type="dxa" w:w="1440"/>
          </w:tcPr>
          <w:p>
            <w:r>
              <w:rPr>
                <w:sz w:val="17"/>
              </w:rPr>
              <w:t>R1</w:t>
            </w:r>
          </w:p>
        </w:tc>
        <w:tc>
          <w:tcPr>
            <w:tcW w:type="dxa" w:w="1440"/>
          </w:tcPr>
          <w:p>
            <w:r>
              <w:rPr>
                <w:sz w:val="17"/>
              </w:rPr>
              <w:t>Contacts per transaction, by country</w:t>
            </w:r>
          </w:p>
        </w:tc>
        <w:tc>
          <w:tcPr>
            <w:tcW w:type="dxa" w:w="1440"/>
          </w:tcPr>
          <w:p>
            <w:r>
              <w:rPr>
                <w:sz w:val="17"/>
              </w:rPr>
              <w:t>−10</w:t>
            </w:r>
          </w:p>
        </w:tc>
        <w:tc>
          <w:tcPr>
            <w:tcW w:type="dxa" w:w="1440"/>
          </w:tcPr>
          <w:p>
            <w:r>
              <w:rPr>
                <w:sz w:val="17"/>
              </w:rPr>
              <w:t>+12</w:t>
            </w:r>
          </w:p>
        </w:tc>
        <w:tc>
          <w:tcPr>
            <w:tcW w:type="dxa" w:w="1440"/>
          </w:tcPr>
          <w:p>
            <w:r>
              <w:rPr>
                <w:sz w:val="17"/>
              </w:rPr>
              <w:t>Asserted</w:t>
            </w:r>
          </w:p>
        </w:tc>
        <w:tc>
          <w:tcPr>
            <w:tcW w:type="dxa" w:w="1440"/>
          </w:tcPr>
          <w:p>
            <w:r>
              <w:rPr>
                <w:sz w:val="17"/>
              </w:rPr>
              <w:t>17.6</w:t>
            </w:r>
          </w:p>
        </w:tc>
      </w:tr>
      <w:tr>
        <w:tc>
          <w:tcPr>
            <w:tcW w:type="dxa" w:w="1440"/>
          </w:tcPr>
          <w:p>
            <w:r>
              <w:rPr>
                <w:sz w:val="17"/>
              </w:rPr>
              <w:t>R2</w:t>
            </w:r>
          </w:p>
        </w:tc>
        <w:tc>
          <w:tcPr>
            <w:tcW w:type="dxa" w:w="1440"/>
          </w:tcPr>
          <w:p>
            <w:r>
              <w:rPr>
                <w:sz w:val="17"/>
              </w:rPr>
              <w:t>Chat usage share</w:t>
            </w:r>
          </w:p>
        </w:tc>
        <w:tc>
          <w:tcPr>
            <w:tcW w:type="dxa" w:w="1440"/>
          </w:tcPr>
          <w:p>
            <w:r>
              <w:rPr>
                <w:sz w:val="17"/>
              </w:rPr>
              <w:t>−4</w:t>
            </w:r>
          </w:p>
        </w:tc>
        <w:tc>
          <w:tcPr>
            <w:tcW w:type="dxa" w:w="1440"/>
          </w:tcPr>
          <w:p>
            <w:r>
              <w:rPr>
                <w:sz w:val="17"/>
              </w:rPr>
              <w:t>+14</w:t>
            </w:r>
          </w:p>
        </w:tc>
        <w:tc>
          <w:tcPr>
            <w:tcW w:type="dxa" w:w="1440"/>
          </w:tcPr>
          <w:p>
            <w:r>
              <w:rPr>
                <w:sz w:val="17"/>
              </w:rPr>
              <w:t>Asserted</w:t>
            </w:r>
          </w:p>
        </w:tc>
        <w:tc>
          <w:tcPr>
            <w:tcW w:type="dxa" w:w="1440"/>
          </w:tcPr>
          <w:p>
            <w:r>
              <w:rPr>
                <w:sz w:val="17"/>
              </w:rPr>
              <w:t>14.4</w:t>
            </w:r>
          </w:p>
        </w:tc>
      </w:tr>
      <w:tr>
        <w:tc>
          <w:tcPr>
            <w:tcW w:type="dxa" w:w="1440"/>
          </w:tcPr>
          <w:p>
            <w:r>
              <w:rPr>
                <w:sz w:val="17"/>
              </w:rPr>
              <w:t>R3</w:t>
            </w:r>
          </w:p>
        </w:tc>
        <w:tc>
          <w:tcPr>
            <w:tcW w:type="dxa" w:w="1440"/>
          </w:tcPr>
          <w:p>
            <w:r>
              <w:rPr>
                <w:sz w:val="17"/>
              </w:rPr>
              <w:t>Shrinkage during training cohorts</w:t>
            </w:r>
          </w:p>
        </w:tc>
        <w:tc>
          <w:tcPr>
            <w:tcW w:type="dxa" w:w="1440"/>
          </w:tcPr>
          <w:p>
            <w:r>
              <w:rPr>
                <w:sz w:val="17"/>
              </w:rPr>
              <w:t>−8</w:t>
            </w:r>
          </w:p>
        </w:tc>
        <w:tc>
          <w:tcPr>
            <w:tcW w:type="dxa" w:w="1440"/>
          </w:tcPr>
          <w:p>
            <w:r>
              <w:rPr>
                <w:sz w:val="17"/>
              </w:rPr>
              <w:t>+9</w:t>
            </w:r>
          </w:p>
        </w:tc>
        <w:tc>
          <w:tcPr>
            <w:tcW w:type="dxa" w:w="1440"/>
          </w:tcPr>
          <w:p>
            <w:r>
              <w:rPr>
                <w:sz w:val="17"/>
              </w:rPr>
              <w:t>Asserted</w:t>
            </w:r>
          </w:p>
        </w:tc>
        <w:tc>
          <w:tcPr>
            <w:tcW w:type="dxa" w:w="1440"/>
          </w:tcPr>
          <w:p>
            <w:r>
              <w:rPr>
                <w:sz w:val="17"/>
              </w:rPr>
              <w:t>13.6</w:t>
            </w:r>
          </w:p>
        </w:tc>
      </w:tr>
      <w:tr>
        <w:tc>
          <w:tcPr>
            <w:tcW w:type="dxa" w:w="1440"/>
          </w:tcPr>
          <w:p>
            <w:r>
              <w:rPr>
                <w:sz w:val="17"/>
              </w:rPr>
              <w:t>R4</w:t>
            </w:r>
          </w:p>
        </w:tc>
        <w:tc>
          <w:tcPr>
            <w:tcW w:type="dxa" w:w="1440"/>
          </w:tcPr>
          <w:p>
            <w:r>
              <w:rPr>
                <w:sz w:val="17"/>
              </w:rPr>
              <w:t>Handle time on the new platform, by phase</w:t>
            </w:r>
          </w:p>
        </w:tc>
        <w:tc>
          <w:tcPr>
            <w:tcW w:type="dxa" w:w="1440"/>
          </w:tcPr>
          <w:p>
            <w:r>
              <w:rPr>
                <w:sz w:val="17"/>
              </w:rPr>
              <w:t>−9</w:t>
            </w:r>
          </w:p>
        </w:tc>
        <w:tc>
          <w:tcPr>
            <w:tcW w:type="dxa" w:w="1440"/>
          </w:tcPr>
          <w:p>
            <w:r>
              <w:rPr>
                <w:sz w:val="17"/>
              </w:rPr>
              <w:t>+9</w:t>
            </w:r>
          </w:p>
        </w:tc>
        <w:tc>
          <w:tcPr>
            <w:tcW w:type="dxa" w:w="1440"/>
          </w:tcPr>
          <w:p>
            <w:r>
              <w:rPr>
                <w:sz w:val="17"/>
              </w:rPr>
              <w:t>Inferred</w:t>
            </w:r>
          </w:p>
        </w:tc>
        <w:tc>
          <w:tcPr>
            <w:tcW w:type="dxa" w:w="1440"/>
          </w:tcPr>
          <w:p>
            <w:r>
              <w:rPr>
                <w:sz w:val="17"/>
              </w:rPr>
              <w:t>9</w:t>
            </w:r>
          </w:p>
        </w:tc>
      </w:tr>
      <w:tr>
        <w:tc>
          <w:tcPr>
            <w:tcW w:type="dxa" w:w="1440"/>
          </w:tcPr>
          <w:p>
            <w:r>
              <w:rPr>
                <w:sz w:val="17"/>
              </w:rPr>
              <w:t>R5</w:t>
            </w:r>
          </w:p>
        </w:tc>
        <w:tc>
          <w:tcPr>
            <w:tcW w:type="dxa" w:w="1440"/>
          </w:tcPr>
          <w:p>
            <w:r>
              <w:rPr>
                <w:sz w:val="17"/>
              </w:rPr>
              <w:t>Training and nesting length</w:t>
            </w:r>
          </w:p>
        </w:tc>
        <w:tc>
          <w:tcPr>
            <w:tcW w:type="dxa" w:w="1440"/>
          </w:tcPr>
          <w:p>
            <w:r>
              <w:rPr>
                <w:sz w:val="17"/>
              </w:rPr>
              <w:t>−12</w:t>
            </w:r>
          </w:p>
        </w:tc>
        <w:tc>
          <w:tcPr>
            <w:tcW w:type="dxa" w:w="1440"/>
          </w:tcPr>
          <w:p>
            <w:r>
              <w:rPr>
                <w:sz w:val="17"/>
              </w:rPr>
              <w:t>+4</w:t>
            </w:r>
          </w:p>
        </w:tc>
        <w:tc>
          <w:tcPr>
            <w:tcW w:type="dxa" w:w="1440"/>
          </w:tcPr>
          <w:p>
            <w:r>
              <w:rPr>
                <w:sz w:val="17"/>
              </w:rPr>
              <w:t>Established</w:t>
            </w:r>
          </w:p>
        </w:tc>
        <w:tc>
          <w:tcPr>
            <w:tcW w:type="dxa" w:w="1440"/>
          </w:tcPr>
          <w:p>
            <w:r>
              <w:rPr>
                <w:sz w:val="17"/>
              </w:rPr>
              <w:t>3.2</w:t>
            </w:r>
          </w:p>
        </w:tc>
      </w:tr>
    </w:tbl>
    <w:p>
      <w:r>
        <w:rPr>
          <w:sz w:val="17"/>
        </w:rPr>
        <w:t>The bridge adds each difference's central FTE effect to the departure baseline, by what it drives. The ranking multiplies the width of each open row's range by the weakness of its evidence (Open 1.0 · Asserted 0.8 · Inferred 0.5 · Established 0.2).</w:t>
      </w:r>
    </w:p>
    <w:p>
      <w:pPr>
        <w:pStyle w:val="Heading1"/>
      </w:pPr>
      <w:r>
        <w:t>4. Problems, unknowns and actions</w:t>
      </w:r>
    </w:p>
    <w:tbl>
      <w:tblPr>
        <w:tblStyle w:val="LightGrid-Accent1"/>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sz w:val="17"/>
              </w:rPr>
              <w:t>#</w:t>
            </w:r>
          </w:p>
        </w:tc>
        <w:tc>
          <w:tcPr>
            <w:tcW w:type="dxa" w:w="1234"/>
          </w:tcPr>
          <w:p>
            <w:r>
              <w:rPr>
                <w:sz w:val="17"/>
              </w:rPr>
              <w:t>Characteristic</w:t>
            </w:r>
          </w:p>
        </w:tc>
        <w:tc>
          <w:tcPr>
            <w:tcW w:type="dxa" w:w="1234"/>
          </w:tcPr>
          <w:p>
            <w:r>
              <w:rPr>
                <w:sz w:val="17"/>
              </w:rPr>
              <w:t>Departure → arrival</w:t>
            </w:r>
          </w:p>
        </w:tc>
        <w:tc>
          <w:tcPr>
            <w:tcW w:type="dxa" w:w="1234"/>
          </w:tcPr>
          <w:p>
            <w:r>
              <w:rPr>
                <w:sz w:val="17"/>
              </w:rPr>
              <w:t>FTE</w:t>
            </w:r>
          </w:p>
        </w:tc>
        <w:tc>
          <w:tcPr>
            <w:tcW w:type="dxa" w:w="1234"/>
          </w:tcPr>
          <w:p>
            <w:r>
              <w:rPr>
                <w:sz w:val="17"/>
              </w:rPr>
              <w:t>Owner</w:t>
            </w:r>
          </w:p>
        </w:tc>
        <w:tc>
          <w:tcPr>
            <w:tcW w:type="dxa" w:w="1234"/>
          </w:tcPr>
          <w:p>
            <w:r>
              <w:rPr>
                <w:sz w:val="17"/>
              </w:rPr>
              <w:t>By</w:t>
            </w:r>
          </w:p>
        </w:tc>
        <w:tc>
          <w:tcPr>
            <w:tcW w:type="dxa" w:w="1234"/>
          </w:tcPr>
          <w:p>
            <w:r>
              <w:rPr>
                <w:sz w:val="17"/>
              </w:rPr>
              <w:t>Next action</w:t>
            </w:r>
          </w:p>
        </w:tc>
      </w:tr>
      <w:tr>
        <w:tc>
          <w:tcPr>
            <w:tcW w:type="dxa" w:w="1234"/>
          </w:tcPr>
          <w:p>
            <w:r>
              <w:rPr>
                <w:sz w:val="17"/>
              </w:rPr>
              <w:t>3</w:t>
            </w:r>
          </w:p>
        </w:tc>
        <w:tc>
          <w:tcPr>
            <w:tcW w:type="dxa" w:w="1234"/>
          </w:tcPr>
          <w:p>
            <w:r>
              <w:rPr>
                <w:sz w:val="17"/>
              </w:rPr>
              <w:t>Operating model</w:t>
            </w:r>
          </w:p>
        </w:tc>
        <w:tc>
          <w:tcPr>
            <w:tcW w:type="dxa" w:w="1234"/>
          </w:tcPr>
          <w:p>
            <w:r>
              <w:rPr>
                <w:sz w:val="17"/>
              </w:rPr>
              <w:t>One 24-hour pool → In-country, business hours</w:t>
            </w:r>
          </w:p>
        </w:tc>
        <w:tc>
          <w:tcPr>
            <w:tcW w:type="dxa" w:w="1234"/>
          </w:tcPr>
          <w:p>
            <w:r>
              <w:rPr>
                <w:sz w:val="17"/>
              </w:rPr>
              <w:t>+4</w:t>
            </w:r>
          </w:p>
        </w:tc>
        <w:tc>
          <w:tcPr>
            <w:tcW w:type="dxa" w:w="1234"/>
          </w:tcPr>
          <w:p>
            <w:r>
              <w:rPr>
                <w:sz w:val="17"/>
              </w:rPr>
              <w:t>arrival lead</w:t>
            </w:r>
          </w:p>
        </w:tc>
        <w:tc>
          <w:tcPr>
            <w:tcW w:type="dxa" w:w="1234"/>
          </w:tcPr>
          <w:p>
            <w:r>
              <w:rPr>
                <w:sz w:val="17"/>
              </w:rPr>
              <w:t>2026-10-20</w:t>
            </w:r>
          </w:p>
        </w:tc>
        <w:tc>
          <w:tcPr>
            <w:tcW w:type="dxa" w:w="1234"/>
          </w:tcPr>
          <w:p>
            <w:r>
              <w:rPr>
                <w:sz w:val="17"/>
              </w:rPr>
              <w:t>What range should the loss of pooling from in-country teams carry? Row 3 has +4 central and no range.</w:t>
            </w:r>
          </w:p>
        </w:tc>
      </w:tr>
      <w:tr>
        <w:tc>
          <w:tcPr>
            <w:tcW w:type="dxa" w:w="1234"/>
          </w:tcPr>
          <w:p>
            <w:r>
              <w:rPr>
                <w:sz w:val="17"/>
              </w:rPr>
              <w:t>8</w:t>
            </w:r>
          </w:p>
        </w:tc>
        <w:tc>
          <w:tcPr>
            <w:tcW w:type="dxa" w:w="1234"/>
          </w:tcPr>
          <w:p>
            <w:r>
              <w:rPr>
                <w:sz w:val="17"/>
              </w:rPr>
              <w:t>Contacts per transaction, by country</w:t>
            </w:r>
          </w:p>
        </w:tc>
        <w:tc>
          <w:tcPr>
            <w:tcW w:type="dxa" w:w="1234"/>
          </w:tcPr>
          <w:p>
            <w:r>
              <w:rPr>
                <w:sz w:val="17"/>
              </w:rPr>
              <w:t>0.31 — own pre-migration months → 0.34 — new entry points</w:t>
            </w:r>
          </w:p>
        </w:tc>
        <w:tc>
          <w:tcPr>
            <w:tcW w:type="dxa" w:w="1234"/>
          </w:tcPr>
          <w:p>
            <w:r>
              <w:rPr>
                <w:sz w:val="17"/>
              </w:rPr>
              <w:t>+10</w:t>
            </w:r>
          </w:p>
        </w:tc>
        <w:tc>
          <w:tcPr>
            <w:tcW w:type="dxa" w:w="1234"/>
          </w:tcPr>
          <w:p>
            <w:r>
              <w:rPr>
                <w:sz w:val="17"/>
              </w:rPr>
              <w:t>departure lead</w:t>
            </w:r>
          </w:p>
        </w:tc>
        <w:tc>
          <w:tcPr>
            <w:tcW w:type="dxa" w:w="1234"/>
          </w:tcPr>
          <w:p>
            <w:r>
              <w:rPr>
                <w:sz w:val="17"/>
              </w:rPr>
              <w:t>2026-10-20</w:t>
            </w:r>
          </w:p>
        </w:tc>
        <w:tc>
          <w:tcPr>
            <w:tcW w:type="dxa" w:w="1234"/>
          </w:tcPr>
          <w:p>
            <w:r>
              <w:rPr>
                <w:sz w:val="17"/>
              </w:rPr>
              <w:t>Contacts per transaction of 0.31: which months, which markets, and what is the denominator? An export would move row 8 from Asserted to Established.</w:t>
            </w:r>
          </w:p>
        </w:tc>
      </w:tr>
      <w:tr>
        <w:tc>
          <w:tcPr>
            <w:tcW w:type="dxa" w:w="1234"/>
          </w:tcPr>
          <w:p>
            <w:r>
              <w:rPr>
                <w:sz w:val="17"/>
              </w:rPr>
              <w:t>17</w:t>
            </w:r>
          </w:p>
        </w:tc>
        <w:tc>
          <w:tcPr>
            <w:tcW w:type="dxa" w:w="1234"/>
          </w:tcPr>
          <w:p>
            <w:r>
              <w:rPr>
                <w:sz w:val="17"/>
              </w:rPr>
              <w:t>Languages supported</w:t>
            </w:r>
          </w:p>
        </w:tc>
        <w:tc>
          <w:tcPr>
            <w:tcW w:type="dxa" w:w="1234"/>
          </w:tcPr>
          <w:p>
            <w:r>
              <w:rPr>
                <w:sz w:val="17"/>
              </w:rPr>
              <w:t>EU + Asia → EU only</w:t>
            </w:r>
          </w:p>
        </w:tc>
        <w:tc>
          <w:tcPr>
            <w:tcW w:type="dxa" w:w="1234"/>
          </w:tcPr>
          <w:p>
            <w:r>
              <w:rPr>
                <w:sz w:val="17"/>
              </w:rPr>
              <w:t>not sized</w:t>
            </w:r>
          </w:p>
        </w:tc>
        <w:tc>
          <w:tcPr>
            <w:tcW w:type="dxa" w:w="1234"/>
          </w:tcPr>
          <w:p>
            <w:r>
              <w:rPr>
                <w:sz w:val="17"/>
              </w:rPr>
              <w:t>arrival lead</w:t>
            </w:r>
          </w:p>
        </w:tc>
        <w:tc>
          <w:tcPr>
            <w:tcW w:type="dxa" w:w="1234"/>
          </w:tcPr>
          <w:p>
            <w:r>
              <w:rPr>
                <w:sz w:val="17"/>
              </w:rPr>
              <w:t>2026-10-20</w:t>
            </w:r>
          </w:p>
        </w:tc>
        <w:tc>
          <w:tcPr>
            <w:tcW w:type="dxa" w:w="1234"/>
          </w:tcPr>
          <w:p>
            <w:r>
              <w:rPr>
                <w:sz w:val="17"/>
              </w:rPr>
              <w:t>Which languages will the arriving teams cover at go-live, and where does work in the uncovered language go?</w:t>
            </w:r>
          </w:p>
        </w:tc>
      </w:tr>
    </w:tbl>
    <w:p>
      <w:r>
        <w:t>Values not yet held:</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rPr>
                <w:sz w:val="17"/>
              </w:rPr>
              <w:t>#</w:t>
            </w:r>
          </w:p>
        </w:tc>
        <w:tc>
          <w:tcPr>
            <w:tcW w:type="dxa" w:w="1728"/>
          </w:tcPr>
          <w:p>
            <w:r>
              <w:rPr>
                <w:sz w:val="17"/>
              </w:rPr>
              <w:t>Characteristic</w:t>
            </w:r>
          </w:p>
        </w:tc>
        <w:tc>
          <w:tcPr>
            <w:tcW w:type="dxa" w:w="1728"/>
          </w:tcPr>
          <w:p>
            <w:r>
              <w:rPr>
                <w:sz w:val="17"/>
              </w:rPr>
              <w:t>Owner</w:t>
            </w:r>
          </w:p>
        </w:tc>
        <w:tc>
          <w:tcPr>
            <w:tcW w:type="dxa" w:w="1728"/>
          </w:tcPr>
          <w:p>
            <w:r>
              <w:rPr>
                <w:sz w:val="17"/>
              </w:rPr>
              <w:t>By</w:t>
            </w:r>
          </w:p>
        </w:tc>
        <w:tc>
          <w:tcPr>
            <w:tcW w:type="dxa" w:w="1728"/>
          </w:tcPr>
          <w:p>
            <w:r>
              <w:rPr>
                <w:sz w:val="17"/>
              </w:rPr>
              <w:t>Status</w:t>
            </w:r>
          </w:p>
        </w:tc>
      </w:tr>
      <w:tr>
        <w:tc>
          <w:tcPr>
            <w:tcW w:type="dxa" w:w="1728"/>
          </w:tcPr>
          <w:p>
            <w:r>
              <w:rPr>
                <w:sz w:val="17"/>
              </w:rPr>
              <w:t>14</w:t>
            </w:r>
          </w:p>
        </w:tc>
        <w:tc>
          <w:tcPr>
            <w:tcW w:type="dxa" w:w="1728"/>
          </w:tcPr>
          <w:p>
            <w:r>
              <w:rPr>
                <w:sz w:val="17"/>
              </w:rPr>
              <w:t>How chat behaves: sync or async</w:t>
            </w:r>
          </w:p>
        </w:tc>
        <w:tc>
          <w:tcPr>
            <w:tcW w:type="dxa" w:w="1728"/>
          </w:tcPr>
          <w:p>
            <w:r>
              <w:rPr>
                <w:sz w:val="17"/>
              </w:rPr>
              <w:t>arrival lead</w:t>
            </w:r>
          </w:p>
        </w:tc>
        <w:tc>
          <w:tcPr>
            <w:tcW w:type="dxa" w:w="1728"/>
          </w:tcPr>
          <w:p>
            <w:r>
              <w:rPr>
                <w:sz w:val="17"/>
              </w:rPr>
              <w:t>2026-10-20</w:t>
            </w:r>
          </w:p>
        </w:tc>
        <w:tc>
          <w:tcPr>
            <w:tcW w:type="dxa" w:w="1728"/>
          </w:tcPr>
          <w:p>
            <w:r>
              <w:rPr>
                <w:sz w:val="17"/>
              </w:rPr>
              <w:t>open</w:t>
            </w:r>
          </w:p>
        </w:tc>
      </w:tr>
      <w:tr>
        <w:tc>
          <w:tcPr>
            <w:tcW w:type="dxa" w:w="1728"/>
          </w:tcPr>
          <w:p>
            <w:r>
              <w:rPr>
                <w:sz w:val="17"/>
              </w:rPr>
              <w:t>34</w:t>
            </w:r>
          </w:p>
        </w:tc>
        <w:tc>
          <w:tcPr>
            <w:tcW w:type="dxa" w:w="1728"/>
          </w:tcPr>
          <w:p>
            <w:r>
              <w:rPr>
                <w:sz w:val="17"/>
              </w:rPr>
              <w:t>Client told what will change</w:t>
            </w:r>
          </w:p>
        </w:tc>
        <w:tc>
          <w:tcPr>
            <w:tcW w:type="dxa" w:w="1728"/>
          </w:tcPr>
          <w:p>
            <w:r>
              <w:rPr>
                <w:sz w:val="17"/>
              </w:rPr>
              <w:t>sponsor</w:t>
            </w:r>
          </w:p>
        </w:tc>
        <w:tc>
          <w:tcPr>
            <w:tcW w:type="dxa" w:w="1728"/>
          </w:tcPr>
          <w:p>
            <w:r>
              <w:rPr>
                <w:sz w:val="17"/>
              </w:rPr>
              <w:t>2026-10-20</w:t>
            </w:r>
          </w:p>
        </w:tc>
        <w:tc>
          <w:tcPr>
            <w:tcW w:type="dxa" w:w="1728"/>
          </w:tcPr>
          <w:p>
            <w:r>
              <w:rPr>
                <w:sz w:val="17"/>
              </w:rPr>
              <w:t>open</w:t>
            </w:r>
          </w:p>
        </w:tc>
      </w:tr>
    </w:tbl>
    <w:p>
      <w:pPr>
        <w:pStyle w:val="Heading1"/>
      </w:pPr>
      <w:r>
        <w:t>5. Top five open assumptions</w:t>
      </w:r>
    </w:p>
    <w:tbl>
      <w:tblPr>
        <w:tblStyle w:val="LightGrid-Accent1"/>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sz w:val="17"/>
              </w:rPr>
              <w:t>R</w:t>
            </w:r>
          </w:p>
        </w:tc>
        <w:tc>
          <w:tcPr>
            <w:tcW w:type="dxa" w:w="1234"/>
          </w:tcPr>
          <w:p>
            <w:r>
              <w:rPr>
                <w:sz w:val="17"/>
              </w:rPr>
              <w:t>Characteristic</w:t>
            </w:r>
          </w:p>
        </w:tc>
        <w:tc>
          <w:tcPr>
            <w:tcW w:type="dxa" w:w="1234"/>
          </w:tcPr>
          <w:p>
            <w:r>
              <w:rPr>
                <w:sz w:val="17"/>
              </w:rPr>
              <w:t>Range (FTE)</w:t>
            </w:r>
          </w:p>
        </w:tc>
        <w:tc>
          <w:tcPr>
            <w:tcW w:type="dxa" w:w="1234"/>
          </w:tcPr>
          <w:p>
            <w:r>
              <w:rPr>
                <w:sz w:val="17"/>
              </w:rPr>
              <w:t>Evidence</w:t>
            </w:r>
          </w:p>
        </w:tc>
        <w:tc>
          <w:tcPr>
            <w:tcW w:type="dxa" w:w="1234"/>
          </w:tcPr>
          <w:p>
            <w:r>
              <w:rPr>
                <w:sz w:val="17"/>
              </w:rPr>
              <w:t>Score</w:t>
            </w:r>
          </w:p>
        </w:tc>
        <w:tc>
          <w:tcPr>
            <w:tcW w:type="dxa" w:w="1234"/>
          </w:tcPr>
          <w:p>
            <w:r>
              <w:rPr>
                <w:sz w:val="17"/>
              </w:rPr>
              <w:t>Owner</w:t>
            </w:r>
          </w:p>
        </w:tc>
        <w:tc>
          <w:tcPr>
            <w:tcW w:type="dxa" w:w="1234"/>
          </w:tcPr>
          <w:p>
            <w:r>
              <w:rPr>
                <w:sz w:val="17"/>
              </w:rPr>
              <w:t>What would close it</w:t>
            </w:r>
          </w:p>
        </w:tc>
      </w:tr>
      <w:tr>
        <w:tc>
          <w:tcPr>
            <w:tcW w:type="dxa" w:w="1234"/>
          </w:tcPr>
          <w:p>
            <w:r>
              <w:rPr>
                <w:sz w:val="17"/>
              </w:rPr>
              <w:t>R1</w:t>
            </w:r>
          </w:p>
        </w:tc>
        <w:tc>
          <w:tcPr>
            <w:tcW w:type="dxa" w:w="1234"/>
          </w:tcPr>
          <w:p>
            <w:r>
              <w:rPr>
                <w:sz w:val="17"/>
              </w:rPr>
              <w:t>Contacts per transaction, by country</w:t>
            </w:r>
          </w:p>
        </w:tc>
        <w:tc>
          <w:tcPr>
            <w:tcW w:type="dxa" w:w="1234"/>
          </w:tcPr>
          <w:p>
            <w:r>
              <w:rPr>
                <w:sz w:val="17"/>
              </w:rPr>
              <w:t>−10 / +12</w:t>
            </w:r>
          </w:p>
        </w:tc>
        <w:tc>
          <w:tcPr>
            <w:tcW w:type="dxa" w:w="1234"/>
          </w:tcPr>
          <w:p>
            <w:r>
              <w:rPr>
                <w:sz w:val="17"/>
              </w:rPr>
              <w:t>Asserted</w:t>
            </w:r>
          </w:p>
        </w:tc>
        <w:tc>
          <w:tcPr>
            <w:tcW w:type="dxa" w:w="1234"/>
          </w:tcPr>
          <w:p>
            <w:r>
              <w:rPr>
                <w:sz w:val="17"/>
              </w:rPr>
              <w:t>17.6</w:t>
            </w:r>
          </w:p>
        </w:tc>
        <w:tc>
          <w:tcPr>
            <w:tcW w:type="dxa" w:w="1234"/>
          </w:tcPr>
          <w:p>
            <w:r>
              <w:rPr>
                <w:sz w:val="17"/>
              </w:rPr>
              <w:t>departure lead</w:t>
            </w:r>
          </w:p>
        </w:tc>
        <w:tc>
          <w:tcPr>
            <w:tcW w:type="dxa" w:w="1234"/>
          </w:tcPr>
          <w:p>
            <w:r>
              <w:rPr>
                <w:sz w:val="17"/>
              </w:rPr>
              <w:t>Contacts per transaction of 0.31: which months, which markets, and what is the denominator? An export would move row 8 from Asserted to Established.</w:t>
            </w:r>
          </w:p>
        </w:tc>
      </w:tr>
      <w:tr>
        <w:tc>
          <w:tcPr>
            <w:tcW w:type="dxa" w:w="1234"/>
          </w:tcPr>
          <w:p>
            <w:r>
              <w:rPr>
                <w:sz w:val="17"/>
              </w:rPr>
              <w:t>R2</w:t>
            </w:r>
          </w:p>
        </w:tc>
        <w:tc>
          <w:tcPr>
            <w:tcW w:type="dxa" w:w="1234"/>
          </w:tcPr>
          <w:p>
            <w:r>
              <w:rPr>
                <w:sz w:val="17"/>
              </w:rPr>
              <w:t>Chat usage share</w:t>
            </w:r>
          </w:p>
        </w:tc>
        <w:tc>
          <w:tcPr>
            <w:tcW w:type="dxa" w:w="1234"/>
          </w:tcPr>
          <w:p>
            <w:r>
              <w:rPr>
                <w:sz w:val="17"/>
              </w:rPr>
              <w:t>−4 / +14</w:t>
            </w:r>
          </w:p>
        </w:tc>
        <w:tc>
          <w:tcPr>
            <w:tcW w:type="dxa" w:w="1234"/>
          </w:tcPr>
          <w:p>
            <w:r>
              <w:rPr>
                <w:sz w:val="17"/>
              </w:rPr>
              <w:t>Asserted</w:t>
            </w:r>
          </w:p>
        </w:tc>
        <w:tc>
          <w:tcPr>
            <w:tcW w:type="dxa" w:w="1234"/>
          </w:tcPr>
          <w:p>
            <w:r>
              <w:rPr>
                <w:sz w:val="17"/>
              </w:rPr>
              <w:t>14.4</w:t>
            </w:r>
          </w:p>
        </w:tc>
        <w:tc>
          <w:tcPr>
            <w:tcW w:type="dxa" w:w="1234"/>
          </w:tcPr>
          <w:p>
            <w:r>
              <w:rPr>
                <w:sz w:val="17"/>
              </w:rPr>
              <w:t>arrival lead</w:t>
            </w:r>
          </w:p>
        </w:tc>
        <w:tc>
          <w:tcPr>
            <w:tcW w:type="dxa" w:w="1234"/>
          </w:tcPr>
          <w:p>
            <w:r>
              <w:rPr>
                <w:sz w:val="17"/>
              </w:rPr>
              <w:t>A measured value with its source</w:t>
            </w:r>
          </w:p>
        </w:tc>
      </w:tr>
      <w:tr>
        <w:tc>
          <w:tcPr>
            <w:tcW w:type="dxa" w:w="1234"/>
          </w:tcPr>
          <w:p>
            <w:r>
              <w:rPr>
                <w:sz w:val="17"/>
              </w:rPr>
              <w:t>R3</w:t>
            </w:r>
          </w:p>
        </w:tc>
        <w:tc>
          <w:tcPr>
            <w:tcW w:type="dxa" w:w="1234"/>
          </w:tcPr>
          <w:p>
            <w:r>
              <w:rPr>
                <w:sz w:val="17"/>
              </w:rPr>
              <w:t>Shrinkage during training cohorts</w:t>
            </w:r>
          </w:p>
        </w:tc>
        <w:tc>
          <w:tcPr>
            <w:tcW w:type="dxa" w:w="1234"/>
          </w:tcPr>
          <w:p>
            <w:r>
              <w:rPr>
                <w:sz w:val="17"/>
              </w:rPr>
              <w:t>−8 / +9</w:t>
            </w:r>
          </w:p>
        </w:tc>
        <w:tc>
          <w:tcPr>
            <w:tcW w:type="dxa" w:w="1234"/>
          </w:tcPr>
          <w:p>
            <w:r>
              <w:rPr>
                <w:sz w:val="17"/>
              </w:rPr>
              <w:t>Asserted</w:t>
            </w:r>
          </w:p>
        </w:tc>
        <w:tc>
          <w:tcPr>
            <w:tcW w:type="dxa" w:w="1234"/>
          </w:tcPr>
          <w:p>
            <w:r>
              <w:rPr>
                <w:sz w:val="17"/>
              </w:rPr>
              <w:t>13.6</w:t>
            </w:r>
          </w:p>
        </w:tc>
        <w:tc>
          <w:tcPr>
            <w:tcW w:type="dxa" w:w="1234"/>
          </w:tcPr>
          <w:p>
            <w:r>
              <w:rPr>
                <w:sz w:val="17"/>
              </w:rPr>
              <w:t>operations lead</w:t>
            </w:r>
          </w:p>
        </w:tc>
        <w:tc>
          <w:tcPr>
            <w:tcW w:type="dxa" w:w="1234"/>
          </w:tcPr>
          <w:p>
            <w:r>
              <w:rPr>
                <w:sz w:val="17"/>
              </w:rPr>
              <w:t>A measured value with its source</w:t>
            </w:r>
          </w:p>
        </w:tc>
      </w:tr>
      <w:tr>
        <w:tc>
          <w:tcPr>
            <w:tcW w:type="dxa" w:w="1234"/>
          </w:tcPr>
          <w:p>
            <w:r>
              <w:rPr>
                <w:sz w:val="17"/>
              </w:rPr>
              <w:t>R4</w:t>
            </w:r>
          </w:p>
        </w:tc>
        <w:tc>
          <w:tcPr>
            <w:tcW w:type="dxa" w:w="1234"/>
          </w:tcPr>
          <w:p>
            <w:r>
              <w:rPr>
                <w:sz w:val="17"/>
              </w:rPr>
              <w:t>Handle time on the new platform, by phase</w:t>
            </w:r>
          </w:p>
        </w:tc>
        <w:tc>
          <w:tcPr>
            <w:tcW w:type="dxa" w:w="1234"/>
          </w:tcPr>
          <w:p>
            <w:r>
              <w:rPr>
                <w:sz w:val="17"/>
              </w:rPr>
              <w:t>−9 / +9</w:t>
            </w:r>
          </w:p>
        </w:tc>
        <w:tc>
          <w:tcPr>
            <w:tcW w:type="dxa" w:w="1234"/>
          </w:tcPr>
          <w:p>
            <w:r>
              <w:rPr>
                <w:sz w:val="17"/>
              </w:rPr>
              <w:t>Inferred</w:t>
            </w:r>
          </w:p>
        </w:tc>
        <w:tc>
          <w:tcPr>
            <w:tcW w:type="dxa" w:w="1234"/>
          </w:tcPr>
          <w:p>
            <w:r>
              <w:rPr>
                <w:sz w:val="17"/>
              </w:rPr>
              <w:t>9</w:t>
            </w:r>
          </w:p>
        </w:tc>
        <w:tc>
          <w:tcPr>
            <w:tcW w:type="dxa" w:w="1234"/>
          </w:tcPr>
          <w:p>
            <w:r>
              <w:rPr>
                <w:sz w:val="17"/>
              </w:rPr>
              <w:t>arrival lead</w:t>
            </w:r>
          </w:p>
        </w:tc>
        <w:tc>
          <w:tcPr>
            <w:tcW w:type="dxa" w:w="1234"/>
          </w:tcPr>
          <w:p>
            <w:r>
              <w:rPr>
                <w:sz w:val="17"/>
              </w:rPr>
              <w:t>For how many weeks does phase-1 handle time stay above steady state?</w:t>
            </w:r>
          </w:p>
        </w:tc>
      </w:tr>
      <w:tr>
        <w:tc>
          <w:tcPr>
            <w:tcW w:type="dxa" w:w="1234"/>
          </w:tcPr>
          <w:p>
            <w:r>
              <w:rPr>
                <w:sz w:val="17"/>
              </w:rPr>
              <w:t>R5</w:t>
            </w:r>
          </w:p>
        </w:tc>
        <w:tc>
          <w:tcPr>
            <w:tcW w:type="dxa" w:w="1234"/>
          </w:tcPr>
          <w:p>
            <w:r>
              <w:rPr>
                <w:sz w:val="17"/>
              </w:rPr>
              <w:t>Training and nesting length</w:t>
            </w:r>
          </w:p>
        </w:tc>
        <w:tc>
          <w:tcPr>
            <w:tcW w:type="dxa" w:w="1234"/>
          </w:tcPr>
          <w:p>
            <w:r>
              <w:rPr>
                <w:sz w:val="17"/>
              </w:rPr>
              <w:t>−12 / +4</w:t>
            </w:r>
          </w:p>
        </w:tc>
        <w:tc>
          <w:tcPr>
            <w:tcW w:type="dxa" w:w="1234"/>
          </w:tcPr>
          <w:p>
            <w:r>
              <w:rPr>
                <w:sz w:val="17"/>
              </w:rPr>
              <w:t>Established</w:t>
            </w:r>
          </w:p>
        </w:tc>
        <w:tc>
          <w:tcPr>
            <w:tcW w:type="dxa" w:w="1234"/>
          </w:tcPr>
          <w:p>
            <w:r>
              <w:rPr>
                <w:sz w:val="17"/>
              </w:rPr>
              <w:t>3.2</w:t>
            </w:r>
          </w:p>
        </w:tc>
        <w:tc>
          <w:tcPr>
            <w:tcW w:type="dxa" w:w="1234"/>
          </w:tcPr>
          <w:p>
            <w:r>
              <w:rPr>
                <w:sz w:val="17"/>
              </w:rPr>
              <w:t>operations lead</w:t>
            </w:r>
          </w:p>
        </w:tc>
        <w:tc>
          <w:tcPr>
            <w:tcW w:type="dxa" w:w="1234"/>
          </w:tcPr>
          <w:p>
            <w:r>
              <w:rPr>
                <w:sz w:val="17"/>
              </w:rPr>
              <w:t>A measured value with its source</w:t>
            </w:r>
          </w:p>
        </w:tc>
      </w:tr>
    </w:tbl>
    <w:p>
      <w:pPr>
        <w:pStyle w:val="Heading1"/>
      </w:pPr>
      <w:r>
        <w:t>6. Open questions by owner</w:t>
      </w:r>
    </w:p>
    <w:p>
      <w:pPr>
        <w:pStyle w:val="Heading2"/>
      </w:pPr>
      <w:r>
        <w:t>Arrival lead</w:t>
      </w:r>
    </w:p>
    <w:p>
      <w:pPr>
        <w:pStyle w:val="ListBullet"/>
      </w:pPr>
      <w:r>
        <w:t>Q1 (row 14, asked): At arrival, does chat run synchronously or asynchronously? The planning call left it as 'to confirm'. — Closes row 14; sets its handle-time effect</w:t>
      </w:r>
    </w:p>
    <w:p>
      <w:pPr>
        <w:pStyle w:val="ListBullet"/>
      </w:pPr>
      <w:r>
        <w:t>Q3 (row 17, open): Which languages will the arriving teams cover at go-live, and where does work in the uncovered language go? — Row 17 is a Problem; decides whether the work can land</w:t>
      </w:r>
    </w:p>
    <w:p>
      <w:pPr>
        <w:pStyle w:val="ListBullet"/>
      </w:pPr>
      <w:r>
        <w:t>Q5 (row 3, open): What range should the loss of pooling from in-country teams carry? Row 3 has +4 central and no range. — Row 3 cannot be ranked without a range</w:t>
      </w:r>
    </w:p>
    <w:p>
      <w:pPr>
        <w:pStyle w:val="ListBullet"/>
      </w:pPr>
      <w:r>
        <w:t>Q8 (row 27, open): For how many weeks does phase-1 handle time stay above steady state? — Row 27 ranks R4; sets how long the phase-1 premium is carried</w:t>
      </w:r>
    </w:p>
    <w:p>
      <w:pPr>
        <w:pStyle w:val="ListBullet"/>
      </w:pPr>
      <w:r>
        <w:t>Q12 (row 22, open): Which entry points will customers use at arrival, and how long will caller identification take? — Row 22 is mandatory for C and empty; moves handle time</w:t>
      </w:r>
    </w:p>
    <w:p>
      <w:pPr>
        <w:pStyle w:val="Heading2"/>
      </w:pPr>
      <w:r>
        <w:t>Sponsor</w:t>
      </w:r>
    </w:p>
    <w:p>
      <w:pPr>
        <w:pStyle w:val="ListBullet"/>
      </w:pPr>
      <w:r>
        <w:t>Q2 (row 34, open): Has the client been told that its own chat is being replaced, and by when? — Closes row 34; contacts keep arriving on a channel switched off on paper</w:t>
      </w:r>
    </w:p>
    <w:p>
      <w:pPr>
        <w:pStyle w:val="ListBullet"/>
      </w:pPr>
      <w:r>
        <w:t>Q15 (row 35, open): When will the incoming plan be laid against the outgoing plan, and who signs it? — Row 35 is mandatory and empty; Rule 3</w:t>
      </w:r>
    </w:p>
    <w:p>
      <w:pPr>
        <w:pStyle w:val="Heading2"/>
      </w:pPr>
      <w:r>
        <w:t>Departure lead</w:t>
      </w:r>
    </w:p>
    <w:p>
      <w:pPr>
        <w:pStyle w:val="ListBullet"/>
      </w:pPr>
      <w:r>
        <w:t>Q4 (row 8, asked): Contacts per transaction of 0.31: which months, which markets, and what is the denominator? An export would move row 8 from Asserted to Established. — Row 8 ranks R1; the widest range on the register</w:t>
      </w:r>
    </w:p>
    <w:p>
      <w:pPr>
        <w:pStyle w:val="ListBullet"/>
      </w:pPr>
      <w:r>
        <w:t>Q9 (row 2, open): Which markets move in each phase, and on what dates? — Row 2 is mandatory and empty; sets the country split</w:t>
      </w:r>
    </w:p>
    <w:p>
      <w:pPr>
        <w:pStyle w:val="ListBullet"/>
      </w:pPr>
      <w:r>
        <w:t>Q10 (row 7, open): What is the transaction volume for the migrating markets, and is a transaction defined the same way on both sides? — Row 7 is mandatory and empty; the contact rate's denominator</w:t>
      </w:r>
    </w:p>
    <w:p>
      <w:pPr>
        <w:pStyle w:val="ListBullet"/>
      </w:pPr>
      <w:r>
        <w:t>Q11 (row 20, open): What share of contacts arrives by voice today, and what share is expected after the move? — Row 20 is mandatory and empty; the channel split</w:t>
      </w:r>
    </w:p>
    <w:p>
      <w:pPr>
        <w:pStyle w:val="ListBullet"/>
      </w:pPr>
      <w:r>
        <w:t>Q13 (row 24, open): What share arrives by email today, and what turnaround applies at arrival? — Row 24 is mandatory and empty; the channel split</w:t>
      </w:r>
    </w:p>
    <w:p>
      <w:pPr>
        <w:pStyle w:val="ListBullet"/>
      </w:pPr>
      <w:r>
        <w:t>Q14 (row 26, open): What is handle time by channel and country in the client's own pre-migration months? — Row 26 is mandatory and empty; the handle-time baseline</w:t>
      </w:r>
    </w:p>
    <w:p>
      <w:pPr>
        <w:pStyle w:val="Heading1"/>
      </w:pPr>
      <w:r>
        <w:t>7. What changed</w:t>
      </w:r>
    </w:p>
    <w:p>
      <w:r>
        <w:t>All logged changes: no previous readout date was given.</w:t>
      </w:r>
    </w:p>
    <w:tbl>
      <w:tblPr>
        <w:tblStyle w:val="LightGrid-Accent1"/>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sz w:val="17"/>
              </w:rPr>
              <w:t>Date</w:t>
            </w:r>
          </w:p>
        </w:tc>
        <w:tc>
          <w:tcPr>
            <w:tcW w:type="dxa" w:w="1234"/>
          </w:tcPr>
          <w:p>
            <w:r>
              <w:rPr>
                <w:sz w:val="17"/>
              </w:rPr>
              <w:t>Row</w:t>
            </w:r>
          </w:p>
        </w:tc>
        <w:tc>
          <w:tcPr>
            <w:tcW w:type="dxa" w:w="1234"/>
          </w:tcPr>
          <w:p>
            <w:r>
              <w:rPr>
                <w:sz w:val="17"/>
              </w:rPr>
              <w:t>What changed</w:t>
            </w:r>
          </w:p>
        </w:tc>
        <w:tc>
          <w:tcPr>
            <w:tcW w:type="dxa" w:w="1234"/>
          </w:tcPr>
          <w:p>
            <w:r>
              <w:rPr>
                <w:sz w:val="17"/>
              </w:rPr>
              <w:t>Said by</w:t>
            </w:r>
          </w:p>
        </w:tc>
        <w:tc>
          <w:tcPr>
            <w:tcW w:type="dxa" w:w="1234"/>
          </w:tcPr>
          <w:p>
            <w:r>
              <w:rPr>
                <w:sz w:val="17"/>
              </w:rPr>
              <w:t>Evidence</w:t>
            </w:r>
          </w:p>
        </w:tc>
        <w:tc>
          <w:tcPr>
            <w:tcW w:type="dxa" w:w="1234"/>
          </w:tcPr>
          <w:p>
            <w:r>
              <w:rPr>
                <w:sz w:val="17"/>
              </w:rPr>
              <w:t>FTE</w:t>
            </w:r>
          </w:p>
        </w:tc>
        <w:tc>
          <w:tcPr>
            <w:tcW w:type="dxa" w:w="1234"/>
          </w:tcPr>
          <w:p>
            <w:r>
              <w:rPr>
                <w:sz w:val="17"/>
              </w:rPr>
              <w:t>Model updated?</w:t>
            </w:r>
          </w:p>
        </w:tc>
      </w:tr>
      <w:tr>
        <w:tc>
          <w:tcPr>
            <w:tcW w:type="dxa" w:w="1234"/>
          </w:tcPr>
          <w:p>
            <w:r>
              <w:rPr>
                <w:sz w:val="17"/>
              </w:rPr>
              <w:t>2026-10-12</w:t>
            </w:r>
          </w:p>
        </w:tc>
        <w:tc>
          <w:tcPr>
            <w:tcW w:type="dxa" w:w="1234"/>
          </w:tcPr>
          <w:p>
            <w:r>
              <w:rPr>
                <w:sz w:val="17"/>
              </w:rPr>
              <w:t>27</w:t>
            </w:r>
          </w:p>
        </w:tc>
        <w:tc>
          <w:tcPr>
            <w:tcW w:type="dxa" w:w="1234"/>
          </w:tcPr>
          <w:p>
            <w:r>
              <w:rPr>
                <w:sz w:val="17"/>
              </w:rPr>
              <w:t>Phase-1 handle time set above steady state: 420 s vs 390 s</w:t>
            </w:r>
          </w:p>
        </w:tc>
        <w:tc>
          <w:tcPr>
            <w:tcW w:type="dxa" w:w="1234"/>
          </w:tcPr>
          <w:p>
            <w:r>
              <w:rPr>
                <w:sz w:val="17"/>
              </w:rPr>
              <w:t>arrival lead</w:t>
            </w:r>
          </w:p>
        </w:tc>
        <w:tc>
          <w:tcPr>
            <w:tcW w:type="dxa" w:w="1234"/>
          </w:tcPr>
          <w:p>
            <w:r>
              <w:rPr>
                <w:sz w:val="17"/>
              </w:rPr>
              <w:t>Inferred</w:t>
            </w:r>
          </w:p>
        </w:tc>
        <w:tc>
          <w:tcPr>
            <w:tcW w:type="dxa" w:w="1234"/>
          </w:tcPr>
          <w:p>
            <w:r>
              <w:rPr>
                <w:sz w:val="17"/>
              </w:rPr>
              <w:t>6</w:t>
            </w:r>
          </w:p>
        </w:tc>
        <w:tc>
          <w:tcPr>
            <w:tcW w:type="dxa" w:w="1234"/>
          </w:tcPr>
          <w:p>
            <w:r>
              <w:rPr>
                <w:sz w:val="17"/>
              </w:rPr>
              <w:t>Yes</w:t>
            </w:r>
          </w:p>
        </w:tc>
      </w:tr>
      <w:tr>
        <w:tc>
          <w:tcPr>
            <w:tcW w:type="dxa" w:w="1234"/>
          </w:tcPr>
          <w:p>
            <w:r>
              <w:rPr>
                <w:sz w:val="17"/>
              </w:rPr>
              <w:t>2026-10-12</w:t>
            </w:r>
          </w:p>
        </w:tc>
        <w:tc>
          <w:tcPr>
            <w:tcW w:type="dxa" w:w="1234"/>
          </w:tcPr>
          <w:p>
            <w:r>
              <w:rPr>
                <w:sz w:val="17"/>
              </w:rPr>
              <w:t>34</w:t>
            </w:r>
          </w:p>
        </w:tc>
        <w:tc>
          <w:tcPr>
            <w:tcW w:type="dxa" w:w="1234"/>
          </w:tcPr>
          <w:p>
            <w:r>
              <w:rPr>
                <w:sz w:val="17"/>
              </w:rPr>
              <w:t>Asked: has the client been told its own chat is being replaced?</w:t>
            </w:r>
          </w:p>
        </w:tc>
        <w:tc>
          <w:tcPr>
            <w:tcW w:type="dxa" w:w="1234"/>
          </w:tcPr>
          <w:p>
            <w:r>
              <w:rPr>
                <w:sz w:val="17"/>
              </w:rPr>
              <w:t>sponsor</w:t>
            </w:r>
          </w:p>
        </w:tc>
        <w:tc>
          <w:tcPr>
            <w:tcW w:type="dxa" w:w="1234"/>
          </w:tcPr>
          <w:p>
            <w:r>
              <w:rPr>
                <w:sz w:val="17"/>
              </w:rPr>
              <w:t>Open</w:t>
            </w:r>
          </w:p>
        </w:tc>
        <w:tc>
          <w:tcPr>
            <w:tcW w:type="dxa" w:w="1234"/>
          </w:tcPr>
          <w:p>
            <w:r>
              <w:rPr>
                <w:sz w:val="17"/>
              </w:rPr>
            </w:r>
          </w:p>
        </w:tc>
        <w:tc>
          <w:tcPr>
            <w:tcW w:type="dxa" w:w="1234"/>
          </w:tcPr>
          <w:p>
            <w:r>
              <w:rPr>
                <w:sz w:val="17"/>
              </w:rPr>
              <w:t>No</w:t>
            </w:r>
          </w:p>
        </w:tc>
      </w:tr>
      <w:tr>
        <w:tc>
          <w:tcPr>
            <w:tcW w:type="dxa" w:w="1234"/>
          </w:tcPr>
          <w:p>
            <w:r>
              <w:rPr>
                <w:sz w:val="17"/>
              </w:rPr>
              <w:t>2026-10-05</w:t>
            </w:r>
          </w:p>
        </w:tc>
        <w:tc>
          <w:tcPr>
            <w:tcW w:type="dxa" w:w="1234"/>
          </w:tcPr>
          <w:p>
            <w:r>
              <w:rPr>
                <w:sz w:val="17"/>
              </w:rPr>
              <w:t>3</w:t>
            </w:r>
          </w:p>
        </w:tc>
        <w:tc>
          <w:tcPr>
            <w:tcW w:type="dxa" w:w="1234"/>
          </w:tcPr>
          <w:p>
            <w:r>
              <w:rPr>
                <w:sz w:val="17"/>
              </w:rPr>
              <w:t>Sizing basis: one 24-hour pool → in-country, business-hours pools</w:t>
            </w:r>
          </w:p>
        </w:tc>
        <w:tc>
          <w:tcPr>
            <w:tcW w:type="dxa" w:w="1234"/>
          </w:tcPr>
          <w:p>
            <w:r>
              <w:rPr>
                <w:sz w:val="17"/>
              </w:rPr>
              <w:t>arrival lead</w:t>
            </w:r>
          </w:p>
        </w:tc>
        <w:tc>
          <w:tcPr>
            <w:tcW w:type="dxa" w:w="1234"/>
          </w:tcPr>
          <w:p>
            <w:r>
              <w:rPr>
                <w:sz w:val="17"/>
              </w:rPr>
              <w:t>Inferred</w:t>
            </w:r>
          </w:p>
        </w:tc>
        <w:tc>
          <w:tcPr>
            <w:tcW w:type="dxa" w:w="1234"/>
          </w:tcPr>
          <w:p>
            <w:r>
              <w:rPr>
                <w:sz w:val="17"/>
              </w:rPr>
              <w:t>4</w:t>
            </w:r>
          </w:p>
        </w:tc>
        <w:tc>
          <w:tcPr>
            <w:tcW w:type="dxa" w:w="1234"/>
          </w:tcPr>
          <w:p>
            <w:r>
              <w:rPr>
                <w:sz w:val="17"/>
              </w:rPr>
              <w:t>Yes</w:t>
            </w:r>
          </w:p>
        </w:tc>
      </w:tr>
    </w:tbl>
    <w:p>
      <w:pPr>
        <w:sectPr>
          <w:footerReference w:type="default" r:id="rId9"/>
          <w:pgSz w:w="12240" w:h="15840"/>
          <w:pgMar w:top="1440" w:right="1800" w:bottom="1440" w:left="1800" w:header="720" w:footer="720" w:gutter="0"/>
          <w:cols w:space="720"/>
          <w:docGrid w:linePitch="360"/>
        </w:sectPr>
      </w:pPr>
    </w:p>
    <w:p>
      <w:pPr>
        <w:pStyle w:val="Heading1"/>
      </w:pPr>
      <w:r>
        <w:t>Appendix: the grid</w:t>
      </w:r>
    </w:p>
    <w:tbl>
      <w:tblPr>
        <w:tblStyle w:val="LightGrid-Accent1"/>
        <w:tblW w:type="auto" w:w="0"/>
        <w:tblLook w:firstColumn="1" w:firstRow="1" w:lastColumn="0" w:lastRow="0" w:noHBand="0" w:noVBand="1" w:val="04A0"/>
      </w:tblPr>
      <w:tblGrid>
        <w:gridCol w:w="1108"/>
        <w:gridCol w:w="1108"/>
        <w:gridCol w:w="1108"/>
        <w:gridCol w:w="1108"/>
        <w:gridCol w:w="1108"/>
        <w:gridCol w:w="1108"/>
        <w:gridCol w:w="1108"/>
        <w:gridCol w:w="1108"/>
        <w:gridCol w:w="1108"/>
        <w:gridCol w:w="1108"/>
        <w:gridCol w:w="1108"/>
        <w:gridCol w:w="1108"/>
        <w:gridCol w:w="1108"/>
      </w:tblGrid>
      <w:tr>
        <w:tc>
          <w:tcPr>
            <w:tcW w:type="dxa" w:w="1108"/>
          </w:tcPr>
          <w:p>
            <w:r>
              <w:rPr>
                <w:sz w:val="17"/>
              </w:rPr>
              <w:t>#</w:t>
            </w:r>
          </w:p>
        </w:tc>
        <w:tc>
          <w:tcPr>
            <w:tcW w:type="dxa" w:w="1108"/>
          </w:tcPr>
          <w:p>
            <w:r>
              <w:rPr>
                <w:sz w:val="17"/>
              </w:rPr>
              <w:t>Group</w:t>
            </w:r>
          </w:p>
        </w:tc>
        <w:tc>
          <w:tcPr>
            <w:tcW w:type="dxa" w:w="1108"/>
          </w:tcPr>
          <w:p>
            <w:r>
              <w:rPr>
                <w:sz w:val="17"/>
              </w:rPr>
              <w:t>Characteristic</w:t>
            </w:r>
          </w:p>
        </w:tc>
        <w:tc>
          <w:tcPr>
            <w:tcW w:type="dxa" w:w="1108"/>
          </w:tcPr>
          <w:p>
            <w:r>
              <w:rPr>
                <w:sz w:val="17"/>
              </w:rPr>
              <w:t>Departure</w:t>
            </w:r>
          </w:p>
        </w:tc>
        <w:tc>
          <w:tcPr>
            <w:tcW w:type="dxa" w:w="1108"/>
          </w:tcPr>
          <w:p>
            <w:r>
              <w:rPr>
                <w:sz w:val="17"/>
              </w:rPr>
              <w:t>Arrival</w:t>
            </w:r>
          </w:p>
        </w:tc>
        <w:tc>
          <w:tcPr>
            <w:tcW w:type="dxa" w:w="1108"/>
          </w:tcPr>
          <w:p>
            <w:r>
              <w:rPr>
                <w:sz w:val="17"/>
              </w:rPr>
              <w:t>Call</w:t>
            </w:r>
          </w:p>
        </w:tc>
        <w:tc>
          <w:tcPr>
            <w:tcW w:type="dxa" w:w="1108"/>
          </w:tcPr>
          <w:p>
            <w:r>
              <w:rPr>
                <w:sz w:val="17"/>
              </w:rPr>
              <w:t>Drives</w:t>
            </w:r>
          </w:p>
        </w:tc>
        <w:tc>
          <w:tcPr>
            <w:tcW w:type="dxa" w:w="1108"/>
          </w:tcPr>
          <w:p>
            <w:r>
              <w:rPr>
                <w:sz w:val="17"/>
              </w:rPr>
              <w:t>Central</w:t>
            </w:r>
          </w:p>
        </w:tc>
        <w:tc>
          <w:tcPr>
            <w:tcW w:type="dxa" w:w="1108"/>
          </w:tcPr>
          <w:p>
            <w:r>
              <w:rPr>
                <w:sz w:val="17"/>
              </w:rPr>
              <w:t>Low</w:t>
            </w:r>
          </w:p>
        </w:tc>
        <w:tc>
          <w:tcPr>
            <w:tcW w:type="dxa" w:w="1108"/>
          </w:tcPr>
          <w:p>
            <w:r>
              <w:rPr>
                <w:sz w:val="17"/>
              </w:rPr>
              <w:t>High</w:t>
            </w:r>
          </w:p>
        </w:tc>
        <w:tc>
          <w:tcPr>
            <w:tcW w:type="dxa" w:w="1108"/>
          </w:tcPr>
          <w:p>
            <w:r>
              <w:rPr>
                <w:sz w:val="17"/>
              </w:rPr>
              <w:t>Evidence</w:t>
            </w:r>
          </w:p>
        </w:tc>
        <w:tc>
          <w:tcPr>
            <w:tcW w:type="dxa" w:w="1108"/>
          </w:tcPr>
          <w:p>
            <w:r>
              <w:rPr>
                <w:sz w:val="17"/>
              </w:rPr>
              <w:t>Owner</w:t>
            </w:r>
          </w:p>
        </w:tc>
        <w:tc>
          <w:tcPr>
            <w:tcW w:type="dxa" w:w="1108"/>
          </w:tcPr>
          <w:p>
            <w:r>
              <w:rPr>
                <w:sz w:val="17"/>
              </w:rPr>
              <w:t>Date</w:t>
            </w:r>
          </w:p>
        </w:tc>
      </w:tr>
      <w:tr>
        <w:tc>
          <w:tcPr>
            <w:tcW w:type="dxa" w:w="1108"/>
          </w:tcPr>
          <w:p>
            <w:r>
              <w:rPr>
                <w:sz w:val="17"/>
              </w:rPr>
              <w:t>1</w:t>
            </w:r>
          </w:p>
        </w:tc>
        <w:tc>
          <w:tcPr>
            <w:tcW w:type="dxa" w:w="1108"/>
          </w:tcPr>
          <w:p>
            <w:r>
              <w:rPr>
                <w:sz w:val="17"/>
              </w:rPr>
              <w:t>Setting the table</w:t>
            </w:r>
          </w:p>
        </w:tc>
        <w:tc>
          <w:tcPr>
            <w:tcW w:type="dxa" w:w="1108"/>
          </w:tcPr>
          <w:p>
            <w:r>
              <w:rPr>
                <w:sz w:val="17"/>
              </w:rPr>
              <w:t>Archetype, declared first (recorded on Set the table)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Several</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w:t>
            </w:r>
          </w:p>
        </w:tc>
        <w:tc>
          <w:tcPr>
            <w:tcW w:type="dxa" w:w="1108"/>
          </w:tcPr>
          <w:p>
            <w:r>
              <w:rPr>
                <w:sz w:val="17"/>
              </w:rPr>
              <w:t>Setting the table</w:t>
            </w:r>
          </w:p>
        </w:tc>
        <w:tc>
          <w:tcPr>
            <w:tcW w:type="dxa" w:w="1108"/>
          </w:tcPr>
          <w:p>
            <w:r>
              <w:rPr>
                <w:sz w:val="17"/>
              </w:rPr>
              <w:t>What moves: markets or countries, populations, phases and dates</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Supply timing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3</w:t>
            </w:r>
          </w:p>
        </w:tc>
        <w:tc>
          <w:tcPr>
            <w:tcW w:type="dxa" w:w="1108"/>
          </w:tcPr>
          <w:p>
            <w:r>
              <w:rPr>
                <w:sz w:val="17"/>
              </w:rPr>
              <w:t>Setting the table</w:t>
            </w:r>
          </w:p>
        </w:tc>
        <w:tc>
          <w:tcPr>
            <w:tcW w:type="dxa" w:w="1108"/>
          </w:tcPr>
          <w:p>
            <w:r>
              <w:rPr>
                <w:sz w:val="17"/>
              </w:rPr>
              <w:t>Operating model</w:t>
            </w:r>
          </w:p>
        </w:tc>
        <w:tc>
          <w:tcPr>
            <w:tcW w:type="dxa" w:w="1108"/>
          </w:tcPr>
          <w:p>
            <w:r>
              <w:rPr>
                <w:sz w:val="17"/>
              </w:rPr>
              <w:t>One 24-hour pool</w:t>
            </w:r>
          </w:p>
        </w:tc>
        <w:tc>
          <w:tcPr>
            <w:tcW w:type="dxa" w:w="1108"/>
          </w:tcPr>
          <w:p>
            <w:r>
              <w:rPr>
                <w:sz w:val="17"/>
              </w:rPr>
              <w:t>In-country, business hours</w:t>
            </w:r>
          </w:p>
        </w:tc>
        <w:tc>
          <w:tcPr>
            <w:tcW w:type="dxa" w:w="1108"/>
          </w:tcPr>
          <w:p>
            <w:r>
              <w:rPr>
                <w:sz w:val="17"/>
              </w:rPr>
              <w:t>Problem</w:t>
            </w:r>
          </w:p>
        </w:tc>
        <w:tc>
          <w:tcPr>
            <w:tcW w:type="dxa" w:w="1108"/>
          </w:tcPr>
          <w:p>
            <w:r>
              <w:rPr>
                <w:sz w:val="17"/>
              </w:rPr>
              <w:t>Pooling</w:t>
            </w:r>
          </w:p>
        </w:tc>
        <w:tc>
          <w:tcPr>
            <w:tcW w:type="dxa" w:w="1108"/>
          </w:tcPr>
          <w:p>
            <w:r>
              <w:rPr>
                <w:sz w:val="17"/>
              </w:rPr>
              <w:t>+4</w:t>
            </w:r>
          </w:p>
        </w:tc>
        <w:tc>
          <w:tcPr>
            <w:tcW w:type="dxa" w:w="1108"/>
          </w:tcPr>
          <w:p>
            <w:r>
              <w:rPr>
                <w:sz w:val="17"/>
              </w:rPr>
            </w:r>
          </w:p>
        </w:tc>
        <w:tc>
          <w:tcPr>
            <w:tcW w:type="dxa" w:w="1108"/>
          </w:tcPr>
          <w:p>
            <w:r>
              <w:rPr>
                <w:sz w:val="17"/>
              </w:rPr>
            </w:r>
          </w:p>
        </w:tc>
        <w:tc>
          <w:tcPr>
            <w:tcW w:type="dxa" w:w="1108"/>
          </w:tcPr>
          <w:p>
            <w:r>
              <w:rPr>
                <w:sz w:val="17"/>
              </w:rPr>
              <w:t>Inferred</w:t>
            </w:r>
          </w:p>
        </w:tc>
        <w:tc>
          <w:tcPr>
            <w:tcW w:type="dxa" w:w="1108"/>
          </w:tcPr>
          <w:p>
            <w:r>
              <w:rPr>
                <w:sz w:val="17"/>
              </w:rPr>
              <w:t>arrival lead</w:t>
            </w:r>
          </w:p>
        </w:tc>
        <w:tc>
          <w:tcPr>
            <w:tcW w:type="dxa" w:w="1108"/>
          </w:tcPr>
          <w:p>
            <w:r>
              <w:rPr>
                <w:sz w:val="17"/>
              </w:rPr>
              <w:t>2026-10-20</w:t>
            </w:r>
          </w:p>
        </w:tc>
      </w:tr>
      <w:tr>
        <w:tc>
          <w:tcPr>
            <w:tcW w:type="dxa" w:w="1108"/>
          </w:tcPr>
          <w:p>
            <w:r>
              <w:rPr>
                <w:sz w:val="17"/>
              </w:rPr>
              <w:t>4</w:t>
            </w:r>
          </w:p>
        </w:tc>
        <w:tc>
          <w:tcPr>
            <w:tcW w:type="dxa" w:w="1108"/>
          </w:tcPr>
          <w:p>
            <w:r>
              <w:rPr>
                <w:sz w:val="17"/>
              </w:rPr>
              <w:t>Setting the table</w:t>
            </w:r>
          </w:p>
        </w:tc>
        <w:tc>
          <w:tcPr>
            <w:tcW w:type="dxa" w:w="1108"/>
          </w:tcPr>
          <w:p>
            <w:r>
              <w:rPr>
                <w:sz w:val="17"/>
              </w:rPr>
              <w:t>Language model: English-only vs language-based</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Pooling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5</w:t>
            </w:r>
          </w:p>
        </w:tc>
        <w:tc>
          <w:tcPr>
            <w:tcW w:type="dxa" w:w="1108"/>
          </w:tcPr>
          <w:p>
            <w:r>
              <w:rPr>
                <w:sz w:val="17"/>
              </w:rPr>
              <w:t>Setting the table</w:t>
            </w:r>
          </w:p>
        </w:tc>
        <w:tc>
          <w:tcPr>
            <w:tcW w:type="dxa" w:w="1108"/>
          </w:tcPr>
          <w:p>
            <w:r>
              <w:rPr>
                <w:sz w:val="17"/>
              </w:rPr>
              <w:t>Servicing model: dedicated · designated · shared</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Pooling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6</w:t>
            </w:r>
          </w:p>
        </w:tc>
        <w:tc>
          <w:tcPr>
            <w:tcW w:type="dxa" w:w="1108"/>
          </w:tcPr>
          <w:p>
            <w:r>
              <w:rPr>
                <w:sz w:val="17"/>
              </w:rPr>
              <w:t>Setting the table</w:t>
            </w:r>
          </w:p>
        </w:tc>
        <w:tc>
          <w:tcPr>
            <w:tcW w:type="dxa" w:w="1108"/>
          </w:tcPr>
          <w:p>
            <w:r>
              <w:rPr>
                <w:sz w:val="17"/>
              </w:rPr>
              <w:t>Tools and platform: transaction tool, desktop, CRM, knowledge base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7</w:t>
            </w:r>
          </w:p>
        </w:tc>
        <w:tc>
          <w:tcPr>
            <w:tcW w:type="dxa" w:w="1108"/>
          </w:tcPr>
          <w:p>
            <w:r>
              <w:rPr>
                <w:sz w:val="17"/>
              </w:rPr>
              <w:t>Demand</w:t>
            </w:r>
          </w:p>
        </w:tc>
        <w:tc>
          <w:tcPr>
            <w:tcW w:type="dxa" w:w="1108"/>
          </w:tcPr>
          <w:p>
            <w:r>
              <w:rPr>
                <w:sz w:val="17"/>
              </w:rPr>
              <w:t>Transaction volume, and its definition on both sides</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8</w:t>
            </w:r>
          </w:p>
        </w:tc>
        <w:tc>
          <w:tcPr>
            <w:tcW w:type="dxa" w:w="1108"/>
          </w:tcPr>
          <w:p>
            <w:r>
              <w:rPr>
                <w:sz w:val="17"/>
              </w:rPr>
              <w:t>Demand</w:t>
            </w:r>
          </w:p>
        </w:tc>
        <w:tc>
          <w:tcPr>
            <w:tcW w:type="dxa" w:w="1108"/>
          </w:tcPr>
          <w:p>
            <w:r>
              <w:rPr>
                <w:sz w:val="17"/>
              </w:rPr>
              <w:t>Contacts per transaction, by country</w:t>
            </w:r>
          </w:p>
        </w:tc>
        <w:tc>
          <w:tcPr>
            <w:tcW w:type="dxa" w:w="1108"/>
          </w:tcPr>
          <w:p>
            <w:r>
              <w:rPr>
                <w:sz w:val="17"/>
              </w:rPr>
              <w:t>0.31 — own pre-migration months</w:t>
            </w:r>
          </w:p>
        </w:tc>
        <w:tc>
          <w:tcPr>
            <w:tcW w:type="dxa" w:w="1108"/>
          </w:tcPr>
          <w:p>
            <w:r>
              <w:rPr>
                <w:sz w:val="17"/>
              </w:rPr>
              <w:t>0.34 — new entry points</w:t>
            </w:r>
          </w:p>
        </w:tc>
        <w:tc>
          <w:tcPr>
            <w:tcW w:type="dxa" w:w="1108"/>
          </w:tcPr>
          <w:p>
            <w:r>
              <w:rPr>
                <w:sz w:val="17"/>
              </w:rPr>
              <w:t>Problem</w:t>
            </w:r>
          </w:p>
        </w:tc>
        <w:tc>
          <w:tcPr>
            <w:tcW w:type="dxa" w:w="1108"/>
          </w:tcPr>
          <w:p>
            <w:r>
              <w:rPr>
                <w:sz w:val="17"/>
              </w:rPr>
              <w:t>CPT / volume</w:t>
            </w:r>
          </w:p>
        </w:tc>
        <w:tc>
          <w:tcPr>
            <w:tcW w:type="dxa" w:w="1108"/>
          </w:tcPr>
          <w:p>
            <w:r>
              <w:rPr>
                <w:sz w:val="17"/>
              </w:rPr>
              <w:t>+10</w:t>
            </w:r>
          </w:p>
        </w:tc>
        <w:tc>
          <w:tcPr>
            <w:tcW w:type="dxa" w:w="1108"/>
          </w:tcPr>
          <w:p>
            <w:r>
              <w:rPr>
                <w:sz w:val="17"/>
              </w:rPr>
              <w:t>−10</w:t>
            </w:r>
          </w:p>
        </w:tc>
        <w:tc>
          <w:tcPr>
            <w:tcW w:type="dxa" w:w="1108"/>
          </w:tcPr>
          <w:p>
            <w:r>
              <w:rPr>
                <w:sz w:val="17"/>
              </w:rPr>
              <w:t>+12</w:t>
            </w:r>
          </w:p>
        </w:tc>
        <w:tc>
          <w:tcPr>
            <w:tcW w:type="dxa" w:w="1108"/>
          </w:tcPr>
          <w:p>
            <w:r>
              <w:rPr>
                <w:sz w:val="17"/>
              </w:rPr>
              <w:t>Asserted</w:t>
            </w:r>
          </w:p>
        </w:tc>
        <w:tc>
          <w:tcPr>
            <w:tcW w:type="dxa" w:w="1108"/>
          </w:tcPr>
          <w:p>
            <w:r>
              <w:rPr>
                <w:sz w:val="17"/>
              </w:rPr>
              <w:t>departure lead</w:t>
            </w:r>
          </w:p>
        </w:tc>
        <w:tc>
          <w:tcPr>
            <w:tcW w:type="dxa" w:w="1108"/>
          </w:tcPr>
          <w:p>
            <w:r>
              <w:rPr>
                <w:sz w:val="17"/>
              </w:rPr>
              <w:t>2026-10-20</w:t>
            </w:r>
          </w:p>
        </w:tc>
      </w:tr>
      <w:tr>
        <w:tc>
          <w:tcPr>
            <w:tcW w:type="dxa" w:w="1108"/>
          </w:tcPr>
          <w:p>
            <w:r>
              <w:rPr>
                <w:sz w:val="17"/>
              </w:rPr>
              <w:t>9</w:t>
            </w:r>
          </w:p>
        </w:tc>
        <w:tc>
          <w:tcPr>
            <w:tcW w:type="dxa" w:w="1108"/>
          </w:tcPr>
          <w:p>
            <w:r>
              <w:rPr>
                <w:sz w:val="17"/>
              </w:rPr>
              <w:t>Demand</w:t>
            </w:r>
          </w:p>
        </w:tc>
        <w:tc>
          <w:tcPr>
            <w:tcW w:type="dxa" w:w="1108"/>
          </w:tcPr>
          <w:p>
            <w:r>
              <w:rPr>
                <w:sz w:val="17"/>
              </w:rPr>
              <w:t>Seasonality and weekly shape</w:t>
            </w:r>
          </w:p>
        </w:tc>
        <w:tc>
          <w:tcPr>
            <w:tcW w:type="dxa" w:w="1108"/>
          </w:tcPr>
          <w:p>
            <w:r>
              <w:rPr>
                <w:sz w:val="17"/>
              </w:rPr>
              <w:t>Q1 peak in own history</w:t>
            </w:r>
          </w:p>
        </w:tc>
        <w:tc>
          <w:tcPr>
            <w:tcW w:type="dxa" w:w="1108"/>
          </w:tcPr>
          <w:p>
            <w:r>
              <w:rPr>
                <w:sz w:val="17"/>
              </w:rPr>
              <w:t>Same shape assumed</w:t>
            </w:r>
          </w:p>
        </w:tc>
        <w:tc>
          <w:tcPr>
            <w:tcW w:type="dxa" w:w="1108"/>
          </w:tcPr>
          <w:p>
            <w:r>
              <w:rPr>
                <w:sz w:val="17"/>
              </w:rPr>
              <w:t>Watch</w:t>
            </w:r>
          </w:p>
        </w:tc>
        <w:tc>
          <w:tcPr>
            <w:tcW w:type="dxa" w:w="1108"/>
          </w:tcPr>
          <w:p>
            <w:r>
              <w:rPr>
                <w:sz w:val="17"/>
              </w:rPr>
              <w:t>Volume shape</w:t>
            </w:r>
          </w:p>
        </w:tc>
        <w:tc>
          <w:tcPr>
            <w:tcW w:type="dxa" w:w="1108"/>
          </w:tcPr>
          <w:p>
            <w:r>
              <w:rPr>
                <w:sz w:val="17"/>
              </w:rPr>
              <w:t>+8</w:t>
            </w:r>
          </w:p>
        </w:tc>
        <w:tc>
          <w:tcPr>
            <w:tcW w:type="dxa" w:w="1108"/>
          </w:tcPr>
          <w:p>
            <w:r>
              <w:rPr>
                <w:sz w:val="17"/>
              </w:rPr>
              <w:t>−2</w:t>
            </w:r>
          </w:p>
        </w:tc>
        <w:tc>
          <w:tcPr>
            <w:tcW w:type="dxa" w:w="1108"/>
          </w:tcPr>
          <w:p>
            <w:r>
              <w:rPr>
                <w:sz w:val="17"/>
              </w:rPr>
              <w:t>+3</w:t>
            </w:r>
          </w:p>
        </w:tc>
        <w:tc>
          <w:tcPr>
            <w:tcW w:type="dxa" w:w="1108"/>
          </w:tcPr>
          <w:p>
            <w:r>
              <w:rPr>
                <w:sz w:val="17"/>
              </w:rPr>
              <w:t>Inferred</w:t>
            </w:r>
          </w:p>
        </w:tc>
        <w:tc>
          <w:tcPr>
            <w:tcW w:type="dxa" w:w="1108"/>
          </w:tcPr>
          <w:p>
            <w:r>
              <w:rPr>
                <w:sz w:val="17"/>
              </w:rPr>
              <w:t>departure lead</w:t>
            </w:r>
          </w:p>
        </w:tc>
        <w:tc>
          <w:tcPr>
            <w:tcW w:type="dxa" w:w="1108"/>
          </w:tcPr>
          <w:p>
            <w:r>
              <w:rPr>
                <w:sz w:val="17"/>
              </w:rPr>
              <w:t>2026-10-20</w:t>
            </w:r>
          </w:p>
        </w:tc>
      </w:tr>
      <w:tr>
        <w:tc>
          <w:tcPr>
            <w:tcW w:type="dxa" w:w="1108"/>
          </w:tcPr>
          <w:p>
            <w:r>
              <w:rPr>
                <w:sz w:val="17"/>
              </w:rPr>
              <w:t>10</w:t>
            </w:r>
          </w:p>
        </w:tc>
        <w:tc>
          <w:tcPr>
            <w:tcW w:type="dxa" w:w="1108"/>
          </w:tcPr>
          <w:p>
            <w:r>
              <w:rPr>
                <w:sz w:val="17"/>
              </w:rPr>
              <w:t>Demand</w:t>
            </w:r>
          </w:p>
        </w:tc>
        <w:tc>
          <w:tcPr>
            <w:tcW w:type="dxa" w:w="1108"/>
          </w:tcPr>
          <w:p>
            <w:r>
              <w:rPr>
                <w:sz w:val="17"/>
              </w:rPr>
              <w:t>Adoption ramp: share of users moved per phase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11</w:t>
            </w:r>
          </w:p>
        </w:tc>
        <w:tc>
          <w:tcPr>
            <w:tcW w:type="dxa" w:w="1108"/>
          </w:tcPr>
          <w:p>
            <w:r>
              <w:rPr>
                <w:sz w:val="17"/>
              </w:rPr>
              <w:t>Demand</w:t>
            </w:r>
          </w:p>
        </w:tc>
        <w:tc>
          <w:tcPr>
            <w:tcW w:type="dxa" w:w="1108"/>
          </w:tcPr>
          <w:p>
            <w:r>
              <w:rPr>
                <w:sz w:val="17"/>
              </w:rPr>
              <w:t>Self-service and deflection (online adoption, bot)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12</w:t>
            </w:r>
          </w:p>
        </w:tc>
        <w:tc>
          <w:tcPr>
            <w:tcW w:type="dxa" w:w="1108"/>
          </w:tcPr>
          <w:p>
            <w:r>
              <w:rPr>
                <w:sz w:val="17"/>
              </w:rPr>
              <w:t>Demand</w:t>
            </w:r>
          </w:p>
        </w:tc>
        <w:tc>
          <w:tcPr>
            <w:tcW w:type="dxa" w:w="1108"/>
          </w:tcPr>
          <w:p>
            <w:r>
              <w:rPr>
                <w:sz w:val="17"/>
              </w:rPr>
              <w:t>Contact conversion: deferred email turning into voice or chat; re-contacts</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13</w:t>
            </w:r>
          </w:p>
        </w:tc>
        <w:tc>
          <w:tcPr>
            <w:tcW w:type="dxa" w:w="1108"/>
          </w:tcPr>
          <w:p>
            <w:r>
              <w:rPr>
                <w:sz w:val="17"/>
              </w:rPr>
              <w:t>Chat</w:t>
            </w:r>
          </w:p>
        </w:tc>
        <w:tc>
          <w:tcPr>
            <w:tcW w:type="dxa" w:w="1108"/>
          </w:tcPr>
          <w:p>
            <w:r>
              <w:rPr>
                <w:sz w:val="17"/>
              </w:rPr>
              <w:t>Chat usage share</w:t>
            </w:r>
          </w:p>
        </w:tc>
        <w:tc>
          <w:tcPr>
            <w:tcW w:type="dxa" w:w="1108"/>
          </w:tcPr>
          <w:p>
            <w:r>
              <w:rPr>
                <w:sz w:val="17"/>
              </w:rPr>
              <w:t>38%</w:t>
            </w:r>
          </w:p>
        </w:tc>
        <w:tc>
          <w:tcPr>
            <w:tcW w:type="dxa" w:w="1108"/>
          </w:tcPr>
          <w:p>
            <w:r>
              <w:rPr>
                <w:sz w:val="17"/>
              </w:rPr>
              <w:t>45%, chat is the default</w:t>
            </w:r>
          </w:p>
        </w:tc>
        <w:tc>
          <w:tcPr>
            <w:tcW w:type="dxa" w:w="1108"/>
          </w:tcPr>
          <w:p>
            <w:r>
              <w:rPr>
                <w:sz w:val="17"/>
              </w:rPr>
              <w:t>Watch</w:t>
            </w:r>
          </w:p>
        </w:tc>
        <w:tc>
          <w:tcPr>
            <w:tcW w:type="dxa" w:w="1108"/>
          </w:tcPr>
          <w:p>
            <w:r>
              <w:rPr>
                <w:sz w:val="17"/>
              </w:rPr>
              <w:t>CPT / volume</w:t>
            </w:r>
          </w:p>
        </w:tc>
        <w:tc>
          <w:tcPr>
            <w:tcW w:type="dxa" w:w="1108"/>
          </w:tcPr>
          <w:p>
            <w:r>
              <w:rPr>
                <w:sz w:val="17"/>
              </w:rPr>
              <w:t>0</w:t>
            </w:r>
          </w:p>
        </w:tc>
        <w:tc>
          <w:tcPr>
            <w:tcW w:type="dxa" w:w="1108"/>
          </w:tcPr>
          <w:p>
            <w:r>
              <w:rPr>
                <w:sz w:val="17"/>
              </w:rPr>
              <w:t>−4</w:t>
            </w:r>
          </w:p>
        </w:tc>
        <w:tc>
          <w:tcPr>
            <w:tcW w:type="dxa" w:w="1108"/>
          </w:tcPr>
          <w:p>
            <w:r>
              <w:rPr>
                <w:sz w:val="17"/>
              </w:rPr>
              <w:t>+14</w:t>
            </w:r>
          </w:p>
        </w:tc>
        <w:tc>
          <w:tcPr>
            <w:tcW w:type="dxa" w:w="1108"/>
          </w:tcPr>
          <w:p>
            <w:r>
              <w:rPr>
                <w:sz w:val="17"/>
              </w:rPr>
              <w:t>Asserted</w:t>
            </w:r>
          </w:p>
        </w:tc>
        <w:tc>
          <w:tcPr>
            <w:tcW w:type="dxa" w:w="1108"/>
          </w:tcPr>
          <w:p>
            <w:r>
              <w:rPr>
                <w:sz w:val="17"/>
              </w:rPr>
              <w:t>arrival lead</w:t>
            </w:r>
          </w:p>
        </w:tc>
        <w:tc>
          <w:tcPr>
            <w:tcW w:type="dxa" w:w="1108"/>
          </w:tcPr>
          <w:p>
            <w:r>
              <w:rPr>
                <w:sz w:val="17"/>
              </w:rPr>
              <w:t>2026-10-20</w:t>
            </w:r>
          </w:p>
        </w:tc>
      </w:tr>
      <w:tr>
        <w:tc>
          <w:tcPr>
            <w:tcW w:type="dxa" w:w="1108"/>
          </w:tcPr>
          <w:p>
            <w:r>
              <w:rPr>
                <w:sz w:val="17"/>
              </w:rPr>
              <w:t>14</w:t>
            </w:r>
          </w:p>
        </w:tc>
        <w:tc>
          <w:tcPr>
            <w:tcW w:type="dxa" w:w="1108"/>
          </w:tcPr>
          <w:p>
            <w:r>
              <w:rPr>
                <w:sz w:val="17"/>
              </w:rPr>
              <w:t>Chat</w:t>
            </w:r>
          </w:p>
        </w:tc>
        <w:tc>
          <w:tcPr>
            <w:tcW w:type="dxa" w:w="1108"/>
          </w:tcPr>
          <w:p>
            <w:r>
              <w:rPr>
                <w:sz w:val="17"/>
              </w:rPr>
              <w:t>How chat behaves: sync or async</w:t>
            </w:r>
          </w:p>
        </w:tc>
        <w:tc>
          <w:tcPr>
            <w:tcW w:type="dxa" w:w="1108"/>
          </w:tcPr>
          <w:p>
            <w:r>
              <w:rPr>
                <w:sz w:val="17"/>
              </w:rPr>
              <w:t>Synchronous</w:t>
            </w:r>
          </w:p>
        </w:tc>
        <w:tc>
          <w:tcPr>
            <w:tcW w:type="dxa" w:w="1108"/>
          </w:tcPr>
          <w:p>
            <w:r>
              <w:rPr>
                <w:sz w:val="17"/>
              </w:rPr>
              <w:t>To confirm</w:t>
            </w:r>
          </w:p>
        </w:tc>
        <w:tc>
          <w:tcPr>
            <w:tcW w:type="dxa" w:w="1108"/>
          </w:tcPr>
          <w:p>
            <w:r>
              <w:rPr>
                <w:sz w:val="17"/>
              </w:rPr>
              <w:t>Unknown</w:t>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Open</w:t>
            </w:r>
          </w:p>
        </w:tc>
        <w:tc>
          <w:tcPr>
            <w:tcW w:type="dxa" w:w="1108"/>
          </w:tcPr>
          <w:p>
            <w:r>
              <w:rPr>
                <w:sz w:val="17"/>
              </w:rPr>
              <w:t>arrival lead</w:t>
            </w:r>
          </w:p>
        </w:tc>
        <w:tc>
          <w:tcPr>
            <w:tcW w:type="dxa" w:w="1108"/>
          </w:tcPr>
          <w:p>
            <w:r>
              <w:rPr>
                <w:sz w:val="17"/>
              </w:rPr>
              <w:t>2026-10-20</w:t>
            </w:r>
          </w:p>
        </w:tc>
      </w:tr>
      <w:tr>
        <w:tc>
          <w:tcPr>
            <w:tcW w:type="dxa" w:w="1108"/>
          </w:tcPr>
          <w:p>
            <w:r>
              <w:rPr>
                <w:sz w:val="17"/>
              </w:rPr>
              <w:t>15</w:t>
            </w:r>
          </w:p>
        </w:tc>
        <w:tc>
          <w:tcPr>
            <w:tcW w:type="dxa" w:w="1108"/>
          </w:tcPr>
          <w:p>
            <w:r>
              <w:rPr>
                <w:sz w:val="17"/>
              </w:rPr>
              <w:t>Chat</w:t>
            </w:r>
          </w:p>
        </w:tc>
        <w:tc>
          <w:tcPr>
            <w:tcW w:type="dxa" w:w="1108"/>
          </w:tcPr>
          <w:p>
            <w:r>
              <w:rPr>
                <w:sz w:val="17"/>
              </w:rPr>
              <w:t>Chat timeout</w:t>
            </w:r>
          </w:p>
        </w:tc>
        <w:tc>
          <w:tcPr>
            <w:tcW w:type="dxa" w:w="1108"/>
          </w:tcPr>
          <w:p>
            <w:r>
              <w:rPr>
                <w:sz w:val="17"/>
              </w:rPr>
              <w:t>10 min</w:t>
            </w:r>
          </w:p>
        </w:tc>
        <w:tc>
          <w:tcPr>
            <w:tcW w:type="dxa" w:w="1108"/>
          </w:tcPr>
          <w:p>
            <w:r>
              <w:rPr>
                <w:sz w:val="17"/>
              </w:rPr>
              <w:t>15 min</w:t>
            </w:r>
          </w:p>
        </w:tc>
        <w:tc>
          <w:tcPr>
            <w:tcW w:type="dxa" w:w="1108"/>
          </w:tcPr>
          <w:p>
            <w:r>
              <w:rPr>
                <w:sz w:val="17"/>
              </w:rPr>
              <w:t>Acceptable</w:t>
            </w:r>
          </w:p>
        </w:tc>
        <w:tc>
          <w:tcPr>
            <w:tcW w:type="dxa" w:w="1108"/>
          </w:tcPr>
          <w:p>
            <w:r>
              <w:rPr>
                <w:sz w:val="17"/>
              </w:rPr>
              <w:t>Abandonment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Established</w:t>
            </w:r>
          </w:p>
        </w:tc>
        <w:tc>
          <w:tcPr>
            <w:tcW w:type="dxa" w:w="1108"/>
          </w:tcPr>
          <w:p>
            <w:r>
              <w:rPr>
                <w:sz w:val="17"/>
              </w:rPr>
              <w:t>arrival lead</w:t>
            </w:r>
          </w:p>
        </w:tc>
        <w:tc>
          <w:tcPr>
            <w:tcW w:type="dxa" w:w="1108"/>
          </w:tcPr>
          <w:p>
            <w:r>
              <w:rPr>
                <w:sz w:val="17"/>
              </w:rPr>
            </w:r>
          </w:p>
        </w:tc>
      </w:tr>
      <w:tr>
        <w:tc>
          <w:tcPr>
            <w:tcW w:type="dxa" w:w="1108"/>
          </w:tcPr>
          <w:p>
            <w:r>
              <w:rPr>
                <w:sz w:val="17"/>
              </w:rPr>
              <w:t>16</w:t>
            </w:r>
          </w:p>
        </w:tc>
        <w:tc>
          <w:tcPr>
            <w:tcW w:type="dxa" w:w="1108"/>
          </w:tcPr>
          <w:p>
            <w:r>
              <w:rPr>
                <w:sz w:val="17"/>
              </w:rPr>
              <w:t>Chat</w:t>
            </w:r>
          </w:p>
        </w:tc>
        <w:tc>
          <w:tcPr>
            <w:tcW w:type="dxa" w:w="1108"/>
          </w:tcPr>
          <w:p>
            <w:r>
              <w:rPr>
                <w:sz w:val="17"/>
              </w:rPr>
              <w:t>Concurrency modeled vs achieved</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Concurrency</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17</w:t>
            </w:r>
          </w:p>
        </w:tc>
        <w:tc>
          <w:tcPr>
            <w:tcW w:type="dxa" w:w="1108"/>
          </w:tcPr>
          <w:p>
            <w:r>
              <w:rPr>
                <w:sz w:val="17"/>
              </w:rPr>
              <w:t>Chat</w:t>
            </w:r>
          </w:p>
        </w:tc>
        <w:tc>
          <w:tcPr>
            <w:tcW w:type="dxa" w:w="1108"/>
          </w:tcPr>
          <w:p>
            <w:r>
              <w:rPr>
                <w:sz w:val="17"/>
              </w:rPr>
              <w:t>Languages supported</w:t>
            </w:r>
          </w:p>
        </w:tc>
        <w:tc>
          <w:tcPr>
            <w:tcW w:type="dxa" w:w="1108"/>
          </w:tcPr>
          <w:p>
            <w:r>
              <w:rPr>
                <w:sz w:val="17"/>
              </w:rPr>
              <w:t>EU + Asia</w:t>
            </w:r>
          </w:p>
        </w:tc>
        <w:tc>
          <w:tcPr>
            <w:tcW w:type="dxa" w:w="1108"/>
          </w:tcPr>
          <w:p>
            <w:r>
              <w:rPr>
                <w:sz w:val="17"/>
              </w:rPr>
              <w:t>EU only</w:t>
            </w:r>
          </w:p>
        </w:tc>
        <w:tc>
          <w:tcPr>
            <w:tcW w:type="dxa" w:w="1108"/>
          </w:tcPr>
          <w:p>
            <w:r>
              <w:rPr>
                <w:sz w:val="17"/>
              </w:rPr>
              <w:t>Problem</w:t>
            </w:r>
          </w:p>
        </w:tc>
        <w:tc>
          <w:tcPr>
            <w:tcW w:type="dxa" w:w="1108"/>
          </w:tcPr>
          <w:p>
            <w:r>
              <w:rPr>
                <w:sz w:val="17"/>
              </w:rPr>
              <w:t>Pooling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Established</w:t>
            </w:r>
          </w:p>
        </w:tc>
        <w:tc>
          <w:tcPr>
            <w:tcW w:type="dxa" w:w="1108"/>
          </w:tcPr>
          <w:p>
            <w:r>
              <w:rPr>
                <w:sz w:val="17"/>
              </w:rPr>
              <w:t>arrival lead</w:t>
            </w:r>
          </w:p>
        </w:tc>
        <w:tc>
          <w:tcPr>
            <w:tcW w:type="dxa" w:w="1108"/>
          </w:tcPr>
          <w:p>
            <w:r>
              <w:rPr>
                <w:sz w:val="17"/>
              </w:rPr>
              <w:t>2026-10-20</w:t>
            </w:r>
          </w:p>
        </w:tc>
      </w:tr>
      <w:tr>
        <w:tc>
          <w:tcPr>
            <w:tcW w:type="dxa" w:w="1108"/>
          </w:tcPr>
          <w:p>
            <w:r>
              <w:rPr>
                <w:sz w:val="17"/>
              </w:rPr>
              <w:t>18</w:t>
            </w:r>
          </w:p>
        </w:tc>
        <w:tc>
          <w:tcPr>
            <w:tcW w:type="dxa" w:w="1108"/>
          </w:tcPr>
          <w:p>
            <w:r>
              <w:rPr>
                <w:sz w:val="17"/>
              </w:rPr>
              <w:t>Chat</w:t>
            </w:r>
          </w:p>
        </w:tc>
        <w:tc>
          <w:tcPr>
            <w:tcW w:type="dxa" w:w="1108"/>
          </w:tcPr>
          <w:p>
            <w:r>
              <w:rPr>
                <w:sz w:val="17"/>
              </w:rPr>
              <w:t>Bot or automation element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19</w:t>
            </w:r>
          </w:p>
        </w:tc>
        <w:tc>
          <w:tcPr>
            <w:tcW w:type="dxa" w:w="1108"/>
          </w:tcPr>
          <w:p>
            <w:r>
              <w:rPr>
                <w:sz w:val="17"/>
              </w:rPr>
              <w:t>Chat</w:t>
            </w:r>
          </w:p>
        </w:tc>
        <w:tc>
          <w:tcPr>
            <w:tcW w:type="dxa" w:w="1108"/>
          </w:tcPr>
          <w:p>
            <w:r>
              <w:rPr>
                <w:sz w:val="17"/>
              </w:rPr>
              <w:t>Service level target and hours</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Service level</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20</w:t>
            </w:r>
          </w:p>
        </w:tc>
        <w:tc>
          <w:tcPr>
            <w:tcW w:type="dxa" w:w="1108"/>
          </w:tcPr>
          <w:p>
            <w:r>
              <w:rPr>
                <w:sz w:val="17"/>
              </w:rPr>
              <w:t>Voice</w:t>
            </w:r>
          </w:p>
        </w:tc>
        <w:tc>
          <w:tcPr>
            <w:tcW w:type="dxa" w:w="1108"/>
          </w:tcPr>
          <w:p>
            <w:r>
              <w:rPr>
                <w:sz w:val="17"/>
              </w:rPr>
              <w:t>Channel usage share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21</w:t>
            </w:r>
          </w:p>
        </w:tc>
        <w:tc>
          <w:tcPr>
            <w:tcW w:type="dxa" w:w="1108"/>
          </w:tcPr>
          <w:p>
            <w:r>
              <w:rPr>
                <w:sz w:val="17"/>
              </w:rPr>
              <w:t>Voice</w:t>
            </w:r>
          </w:p>
        </w:tc>
        <w:tc>
          <w:tcPr>
            <w:tcW w:type="dxa" w:w="1108"/>
          </w:tcPr>
          <w:p>
            <w:r>
              <w:rPr>
                <w:sz w:val="17"/>
              </w:rPr>
              <w:t>IVR and routing design (menus, skills, overflow)</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22</w:t>
            </w:r>
          </w:p>
        </w:tc>
        <w:tc>
          <w:tcPr>
            <w:tcW w:type="dxa" w:w="1108"/>
          </w:tcPr>
          <w:p>
            <w:r>
              <w:rPr>
                <w:sz w:val="17"/>
              </w:rPr>
              <w:t>Voice</w:t>
            </w:r>
          </w:p>
        </w:tc>
        <w:tc>
          <w:tcPr>
            <w:tcW w:type="dxa" w:w="1108"/>
          </w:tcPr>
          <w:p>
            <w:r>
              <w:rPr>
                <w:sz w:val="17"/>
              </w:rPr>
              <w:t>Entry points, caller identification and security time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23</w:t>
            </w:r>
          </w:p>
        </w:tc>
        <w:tc>
          <w:tcPr>
            <w:tcW w:type="dxa" w:w="1108"/>
          </w:tcPr>
          <w:p>
            <w:r>
              <w:rPr>
                <w:sz w:val="17"/>
              </w:rPr>
              <w:t>Voice</w:t>
            </w:r>
          </w:p>
        </w:tc>
        <w:tc>
          <w:tcPr>
            <w:tcW w:type="dxa" w:w="1108"/>
          </w:tcPr>
          <w:p>
            <w:r>
              <w:rPr>
                <w:sz w:val="17"/>
              </w:rPr>
              <w:t>Service level target</w:t>
            </w:r>
          </w:p>
        </w:tc>
        <w:tc>
          <w:tcPr>
            <w:tcW w:type="dxa" w:w="1108"/>
          </w:tcPr>
          <w:p>
            <w:r>
              <w:rPr>
                <w:sz w:val="17"/>
              </w:rPr>
              <w:t>70/30</w:t>
            </w:r>
          </w:p>
        </w:tc>
        <w:tc>
          <w:tcPr>
            <w:tcW w:type="dxa" w:w="1108"/>
          </w:tcPr>
          <w:p>
            <w:r>
              <w:rPr>
                <w:sz w:val="17"/>
              </w:rPr>
              <w:t>80/20</w:t>
            </w:r>
          </w:p>
        </w:tc>
        <w:tc>
          <w:tcPr>
            <w:tcW w:type="dxa" w:w="1108"/>
          </w:tcPr>
          <w:p>
            <w:r>
              <w:rPr>
                <w:sz w:val="17"/>
              </w:rPr>
              <w:t>Watch</w:t>
            </w:r>
          </w:p>
        </w:tc>
        <w:tc>
          <w:tcPr>
            <w:tcW w:type="dxa" w:w="1108"/>
          </w:tcPr>
          <w:p>
            <w:r>
              <w:rPr>
                <w:sz w:val="17"/>
              </w:rPr>
              <w:t>Service level</w:t>
            </w:r>
          </w:p>
        </w:tc>
        <w:tc>
          <w:tcPr>
            <w:tcW w:type="dxa" w:w="1108"/>
          </w:tcPr>
          <w:p>
            <w:r>
              <w:rPr>
                <w:sz w:val="17"/>
              </w:rPr>
              <w:t>0</w:t>
            </w:r>
          </w:p>
        </w:tc>
        <w:tc>
          <w:tcPr>
            <w:tcW w:type="dxa" w:w="1108"/>
          </w:tcPr>
          <w:p>
            <w:r>
              <w:rPr>
                <w:sz w:val="17"/>
              </w:rPr>
              <w:t>−1</w:t>
            </w:r>
          </w:p>
        </w:tc>
        <w:tc>
          <w:tcPr>
            <w:tcW w:type="dxa" w:w="1108"/>
          </w:tcPr>
          <w:p>
            <w:r>
              <w:rPr>
                <w:sz w:val="17"/>
              </w:rPr>
              <w:t>+2</w:t>
            </w:r>
          </w:p>
        </w:tc>
        <w:tc>
          <w:tcPr>
            <w:tcW w:type="dxa" w:w="1108"/>
          </w:tcPr>
          <w:p>
            <w:r>
              <w:rPr>
                <w:sz w:val="17"/>
              </w:rPr>
              <w:t>Established</w:t>
            </w:r>
          </w:p>
        </w:tc>
        <w:tc>
          <w:tcPr>
            <w:tcW w:type="dxa" w:w="1108"/>
          </w:tcPr>
          <w:p>
            <w:r>
              <w:rPr>
                <w:sz w:val="17"/>
              </w:rPr>
              <w:t>arrival lead</w:t>
            </w:r>
          </w:p>
        </w:tc>
        <w:tc>
          <w:tcPr>
            <w:tcW w:type="dxa" w:w="1108"/>
          </w:tcPr>
          <w:p>
            <w:r>
              <w:rPr>
                <w:sz w:val="17"/>
              </w:rPr>
              <w:t>2026-10-20</w:t>
            </w:r>
          </w:p>
        </w:tc>
      </w:tr>
      <w:tr>
        <w:tc>
          <w:tcPr>
            <w:tcW w:type="dxa" w:w="1108"/>
          </w:tcPr>
          <w:p>
            <w:r>
              <w:rPr>
                <w:sz w:val="17"/>
              </w:rPr>
              <w:t>24</w:t>
            </w:r>
          </w:p>
        </w:tc>
        <w:tc>
          <w:tcPr>
            <w:tcW w:type="dxa" w:w="1108"/>
          </w:tcPr>
          <w:p>
            <w:r>
              <w:rPr>
                <w:sz w:val="17"/>
              </w:rPr>
              <w:t>Email</w:t>
            </w:r>
          </w:p>
        </w:tc>
        <w:tc>
          <w:tcPr>
            <w:tcW w:type="dxa" w:w="1108"/>
          </w:tcPr>
          <w:p>
            <w:r>
              <w:rPr>
                <w:sz w:val="17"/>
              </w:rPr>
              <w:t>Channel usage share and turnaround target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25</w:t>
            </w:r>
          </w:p>
        </w:tc>
        <w:tc>
          <w:tcPr>
            <w:tcW w:type="dxa" w:w="1108"/>
          </w:tcPr>
          <w:p>
            <w:r>
              <w:rPr>
                <w:sz w:val="17"/>
              </w:rPr>
              <w:t>Handle time</w:t>
            </w:r>
          </w:p>
        </w:tc>
        <w:tc>
          <w:tcPr>
            <w:tcW w:type="dxa" w:w="1108"/>
          </w:tcPr>
          <w:p>
            <w:r>
              <w:rPr>
                <w:sz w:val="17"/>
              </w:rPr>
              <w:t>AHT definition</w:t>
            </w:r>
          </w:p>
        </w:tc>
        <w:tc>
          <w:tcPr>
            <w:tcW w:type="dxa" w:w="1108"/>
          </w:tcPr>
          <w:p>
            <w:r>
              <w:rPr>
                <w:sz w:val="17"/>
              </w:rPr>
              <w:t>Agent work only</w:t>
            </w:r>
          </w:p>
        </w:tc>
        <w:tc>
          <w:tcPr>
            <w:tcW w:type="dxa" w:w="1108"/>
          </w:tcPr>
          <w:p>
            <w:r>
              <w:rPr>
                <w:sz w:val="17"/>
              </w:rPr>
              <w:t>Agent work only</w:t>
            </w:r>
          </w:p>
        </w:tc>
        <w:tc>
          <w:tcPr>
            <w:tcW w:type="dxa" w:w="1108"/>
          </w:tcPr>
          <w:p>
            <w:r>
              <w:rPr>
                <w:sz w:val="17"/>
              </w:rPr>
              <w:t>Same</w:t>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Established</w:t>
            </w:r>
          </w:p>
        </w:tc>
        <w:tc>
          <w:tcPr>
            <w:tcW w:type="dxa" w:w="1108"/>
          </w:tcPr>
          <w:p>
            <w:r>
              <w:rPr>
                <w:sz w:val="17"/>
              </w:rPr>
              <w:t>both leads</w:t>
            </w:r>
          </w:p>
        </w:tc>
        <w:tc>
          <w:tcPr>
            <w:tcW w:type="dxa" w:w="1108"/>
          </w:tcPr>
          <w:p>
            <w:r>
              <w:rPr>
                <w:sz w:val="17"/>
              </w:rPr>
            </w:r>
          </w:p>
        </w:tc>
      </w:tr>
      <w:tr>
        <w:tc>
          <w:tcPr>
            <w:tcW w:type="dxa" w:w="1108"/>
          </w:tcPr>
          <w:p>
            <w:r>
              <w:rPr>
                <w:sz w:val="17"/>
              </w:rPr>
              <w:t>26</w:t>
            </w:r>
          </w:p>
        </w:tc>
        <w:tc>
          <w:tcPr>
            <w:tcW w:type="dxa" w:w="1108"/>
          </w:tcPr>
          <w:p>
            <w:r>
              <w:rPr>
                <w:sz w:val="17"/>
              </w:rPr>
              <w:t>Handle time</w:t>
            </w:r>
          </w:p>
        </w:tc>
        <w:tc>
          <w:tcPr>
            <w:tcW w:type="dxa" w:w="1108"/>
          </w:tcPr>
          <w:p>
            <w:r>
              <w:rPr>
                <w:sz w:val="17"/>
              </w:rPr>
              <w:t>AHT baseline by channel and country, from the client's own history</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27</w:t>
            </w:r>
          </w:p>
        </w:tc>
        <w:tc>
          <w:tcPr>
            <w:tcW w:type="dxa" w:w="1108"/>
          </w:tcPr>
          <w:p>
            <w:r>
              <w:rPr>
                <w:sz w:val="17"/>
              </w:rPr>
              <w:t>Handle time</w:t>
            </w:r>
          </w:p>
        </w:tc>
        <w:tc>
          <w:tcPr>
            <w:tcW w:type="dxa" w:w="1108"/>
          </w:tcPr>
          <w:p>
            <w:r>
              <w:rPr>
                <w:sz w:val="17"/>
              </w:rPr>
              <w:t>Handle time on the new platform, by phase</w:t>
            </w:r>
          </w:p>
        </w:tc>
        <w:tc>
          <w:tcPr>
            <w:tcW w:type="dxa" w:w="1108"/>
          </w:tcPr>
          <w:p>
            <w:r>
              <w:rPr>
                <w:sz w:val="17"/>
              </w:rPr>
              <w:t>380 s</w:t>
            </w:r>
          </w:p>
        </w:tc>
        <w:tc>
          <w:tcPr>
            <w:tcW w:type="dxa" w:w="1108"/>
          </w:tcPr>
          <w:p>
            <w:r>
              <w:rPr>
                <w:sz w:val="17"/>
              </w:rPr>
              <w:t>420 s phase 1, 390 s after</w:t>
            </w:r>
          </w:p>
        </w:tc>
        <w:tc>
          <w:tcPr>
            <w:tcW w:type="dxa" w:w="1108"/>
          </w:tcPr>
          <w:p>
            <w:r>
              <w:rPr>
                <w:sz w:val="17"/>
              </w:rPr>
              <w:t>Watch</w:t>
            </w:r>
          </w:p>
        </w:tc>
        <w:tc>
          <w:tcPr>
            <w:tcW w:type="dxa" w:w="1108"/>
          </w:tcPr>
          <w:p>
            <w:r>
              <w:rPr>
                <w:sz w:val="17"/>
              </w:rPr>
              <w:t>AHT</w:t>
            </w:r>
          </w:p>
        </w:tc>
        <w:tc>
          <w:tcPr>
            <w:tcW w:type="dxa" w:w="1108"/>
          </w:tcPr>
          <w:p>
            <w:r>
              <w:rPr>
                <w:sz w:val="17"/>
              </w:rPr>
              <w:t>+6</w:t>
            </w:r>
          </w:p>
        </w:tc>
        <w:tc>
          <w:tcPr>
            <w:tcW w:type="dxa" w:w="1108"/>
          </w:tcPr>
          <w:p>
            <w:r>
              <w:rPr>
                <w:sz w:val="17"/>
              </w:rPr>
              <w:t>−9</w:t>
            </w:r>
          </w:p>
        </w:tc>
        <w:tc>
          <w:tcPr>
            <w:tcW w:type="dxa" w:w="1108"/>
          </w:tcPr>
          <w:p>
            <w:r>
              <w:rPr>
                <w:sz w:val="17"/>
              </w:rPr>
              <w:t>+9</w:t>
            </w:r>
          </w:p>
        </w:tc>
        <w:tc>
          <w:tcPr>
            <w:tcW w:type="dxa" w:w="1108"/>
          </w:tcPr>
          <w:p>
            <w:r>
              <w:rPr>
                <w:sz w:val="17"/>
              </w:rPr>
              <w:t>Inferred</w:t>
            </w:r>
          </w:p>
        </w:tc>
        <w:tc>
          <w:tcPr>
            <w:tcW w:type="dxa" w:w="1108"/>
          </w:tcPr>
          <w:p>
            <w:r>
              <w:rPr>
                <w:sz w:val="17"/>
              </w:rPr>
              <w:t>arrival lead</w:t>
            </w:r>
          </w:p>
        </w:tc>
        <w:tc>
          <w:tcPr>
            <w:tcW w:type="dxa" w:w="1108"/>
          </w:tcPr>
          <w:p>
            <w:r>
              <w:rPr>
                <w:sz w:val="17"/>
              </w:rPr>
              <w:t>2026-10-20</w:t>
            </w:r>
          </w:p>
        </w:tc>
      </w:tr>
      <w:tr>
        <w:tc>
          <w:tcPr>
            <w:tcW w:type="dxa" w:w="1108"/>
          </w:tcPr>
          <w:p>
            <w:r>
              <w:rPr>
                <w:sz w:val="17"/>
              </w:rPr>
              <w:t>28</w:t>
            </w:r>
          </w:p>
        </w:tc>
        <w:tc>
          <w:tcPr>
            <w:tcW w:type="dxa" w:w="1108"/>
          </w:tcPr>
          <w:p>
            <w:r>
              <w:rPr>
                <w:sz w:val="17"/>
              </w:rPr>
              <w:t>Handle time</w:t>
            </w:r>
          </w:p>
        </w:tc>
        <w:tc>
          <w:tcPr>
            <w:tcW w:type="dxa" w:w="1108"/>
          </w:tcPr>
          <w:p>
            <w:r>
              <w:rPr>
                <w:sz w:val="17"/>
              </w:rPr>
              <w:t>Tenure and proficiency; knowledge lost with departing staff</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AHT</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29</w:t>
            </w:r>
          </w:p>
        </w:tc>
        <w:tc>
          <w:tcPr>
            <w:tcW w:type="dxa" w:w="1108"/>
          </w:tcPr>
          <w:p>
            <w:r>
              <w:rPr>
                <w:sz w:val="17"/>
              </w:rPr>
              <w:t>Supply</w:t>
            </w:r>
          </w:p>
        </w:tc>
        <w:tc>
          <w:tcPr>
            <w:tcW w:type="dxa" w:w="1108"/>
          </w:tcPr>
          <w:p>
            <w:r>
              <w:rPr>
                <w:sz w:val="17"/>
              </w:rPr>
              <w:t>Shrinkage during training cohorts</w:t>
            </w:r>
          </w:p>
        </w:tc>
        <w:tc>
          <w:tcPr>
            <w:tcW w:type="dxa" w:w="1108"/>
          </w:tcPr>
          <w:p>
            <w:r>
              <w:rPr>
                <w:sz w:val="17"/>
              </w:rPr>
              <w:t>32%</w:t>
            </w:r>
          </w:p>
        </w:tc>
        <w:tc>
          <w:tcPr>
            <w:tcW w:type="dxa" w:w="1108"/>
          </w:tcPr>
          <w:p>
            <w:r>
              <w:rPr>
                <w:sz w:val="17"/>
              </w:rPr>
              <w:t>36%</w:t>
            </w:r>
          </w:p>
        </w:tc>
        <w:tc>
          <w:tcPr>
            <w:tcW w:type="dxa" w:w="1108"/>
          </w:tcPr>
          <w:p>
            <w:r>
              <w:rPr>
                <w:sz w:val="17"/>
              </w:rPr>
              <w:t>Watch</w:t>
            </w:r>
          </w:p>
        </w:tc>
        <w:tc>
          <w:tcPr>
            <w:tcW w:type="dxa" w:w="1108"/>
          </w:tcPr>
          <w:p>
            <w:r>
              <w:rPr>
                <w:sz w:val="17"/>
              </w:rPr>
              <w:t>Shrinkage</w:t>
            </w:r>
          </w:p>
        </w:tc>
        <w:tc>
          <w:tcPr>
            <w:tcW w:type="dxa" w:w="1108"/>
          </w:tcPr>
          <w:p>
            <w:r>
              <w:rPr>
                <w:sz w:val="17"/>
              </w:rPr>
              <w:t>0</w:t>
            </w:r>
          </w:p>
        </w:tc>
        <w:tc>
          <w:tcPr>
            <w:tcW w:type="dxa" w:w="1108"/>
          </w:tcPr>
          <w:p>
            <w:r>
              <w:rPr>
                <w:sz w:val="17"/>
              </w:rPr>
              <w:t>−8</w:t>
            </w:r>
          </w:p>
        </w:tc>
        <w:tc>
          <w:tcPr>
            <w:tcW w:type="dxa" w:w="1108"/>
          </w:tcPr>
          <w:p>
            <w:r>
              <w:rPr>
                <w:sz w:val="17"/>
              </w:rPr>
              <w:t>+9</w:t>
            </w:r>
          </w:p>
        </w:tc>
        <w:tc>
          <w:tcPr>
            <w:tcW w:type="dxa" w:w="1108"/>
          </w:tcPr>
          <w:p>
            <w:r>
              <w:rPr>
                <w:sz w:val="17"/>
              </w:rPr>
              <w:t>Asserted</w:t>
            </w:r>
          </w:p>
        </w:tc>
        <w:tc>
          <w:tcPr>
            <w:tcW w:type="dxa" w:w="1108"/>
          </w:tcPr>
          <w:p>
            <w:r>
              <w:rPr>
                <w:sz w:val="17"/>
              </w:rPr>
              <w:t>operations lead</w:t>
            </w:r>
          </w:p>
        </w:tc>
        <w:tc>
          <w:tcPr>
            <w:tcW w:type="dxa" w:w="1108"/>
          </w:tcPr>
          <w:p>
            <w:r>
              <w:rPr>
                <w:sz w:val="17"/>
              </w:rPr>
              <w:t>2026-10-20</w:t>
            </w:r>
          </w:p>
        </w:tc>
      </w:tr>
      <w:tr>
        <w:tc>
          <w:tcPr>
            <w:tcW w:type="dxa" w:w="1108"/>
          </w:tcPr>
          <w:p>
            <w:r>
              <w:rPr>
                <w:sz w:val="17"/>
              </w:rPr>
              <w:t>30</w:t>
            </w:r>
          </w:p>
        </w:tc>
        <w:tc>
          <w:tcPr>
            <w:tcW w:type="dxa" w:w="1108"/>
          </w:tcPr>
          <w:p>
            <w:r>
              <w:rPr>
                <w:sz w:val="17"/>
              </w:rPr>
              <w:t>Supply</w:t>
            </w:r>
          </w:p>
        </w:tc>
        <w:tc>
          <w:tcPr>
            <w:tcW w:type="dxa" w:w="1108"/>
          </w:tcPr>
          <w:p>
            <w:r>
              <w:rPr>
                <w:sz w:val="17"/>
              </w:rPr>
              <w:t>Training and nesting length</w:t>
            </w:r>
          </w:p>
        </w:tc>
        <w:tc>
          <w:tcPr>
            <w:tcW w:type="dxa" w:w="1108"/>
          </w:tcPr>
          <w:p>
            <w:r>
              <w:rPr>
                <w:sz w:val="17"/>
              </w:rPr>
              <w:t>6 weeks</w:t>
            </w:r>
          </w:p>
        </w:tc>
        <w:tc>
          <w:tcPr>
            <w:tcW w:type="dxa" w:w="1108"/>
          </w:tcPr>
          <w:p>
            <w:r>
              <w:rPr>
                <w:sz w:val="17"/>
              </w:rPr>
              <w:t>4 weeks</w:t>
            </w:r>
          </w:p>
        </w:tc>
        <w:tc>
          <w:tcPr>
            <w:tcW w:type="dxa" w:w="1108"/>
          </w:tcPr>
          <w:p>
            <w:r>
              <w:rPr>
                <w:sz w:val="17"/>
              </w:rPr>
              <w:t>Watch</w:t>
            </w:r>
          </w:p>
        </w:tc>
        <w:tc>
          <w:tcPr>
            <w:tcW w:type="dxa" w:w="1108"/>
          </w:tcPr>
          <w:p>
            <w:r>
              <w:rPr>
                <w:sz w:val="17"/>
              </w:rPr>
              <w:t>Supply timing</w:t>
            </w:r>
          </w:p>
        </w:tc>
        <w:tc>
          <w:tcPr>
            <w:tcW w:type="dxa" w:w="1108"/>
          </w:tcPr>
          <w:p>
            <w:r>
              <w:rPr>
                <w:sz w:val="17"/>
              </w:rPr>
              <w:t>0</w:t>
            </w:r>
          </w:p>
        </w:tc>
        <w:tc>
          <w:tcPr>
            <w:tcW w:type="dxa" w:w="1108"/>
          </w:tcPr>
          <w:p>
            <w:r>
              <w:rPr>
                <w:sz w:val="17"/>
              </w:rPr>
              <w:t>−12</w:t>
            </w:r>
          </w:p>
        </w:tc>
        <w:tc>
          <w:tcPr>
            <w:tcW w:type="dxa" w:w="1108"/>
          </w:tcPr>
          <w:p>
            <w:r>
              <w:rPr>
                <w:sz w:val="17"/>
              </w:rPr>
              <w:t>+4</w:t>
            </w:r>
          </w:p>
        </w:tc>
        <w:tc>
          <w:tcPr>
            <w:tcW w:type="dxa" w:w="1108"/>
          </w:tcPr>
          <w:p>
            <w:r>
              <w:rPr>
                <w:sz w:val="17"/>
              </w:rPr>
              <w:t>Established</w:t>
            </w:r>
          </w:p>
        </w:tc>
        <w:tc>
          <w:tcPr>
            <w:tcW w:type="dxa" w:w="1108"/>
          </w:tcPr>
          <w:p>
            <w:r>
              <w:rPr>
                <w:sz w:val="17"/>
              </w:rPr>
              <w:t>operations lead</w:t>
            </w:r>
          </w:p>
        </w:tc>
        <w:tc>
          <w:tcPr>
            <w:tcW w:type="dxa" w:w="1108"/>
          </w:tcPr>
          <w:p>
            <w:r>
              <w:rPr>
                <w:sz w:val="17"/>
              </w:rPr>
              <w:t>2026-10-20</w:t>
            </w:r>
          </w:p>
        </w:tc>
      </w:tr>
      <w:tr>
        <w:tc>
          <w:tcPr>
            <w:tcW w:type="dxa" w:w="1108"/>
          </w:tcPr>
          <w:p>
            <w:r>
              <w:rPr>
                <w:sz w:val="17"/>
              </w:rPr>
              <w:t>31</w:t>
            </w:r>
          </w:p>
        </w:tc>
        <w:tc>
          <w:tcPr>
            <w:tcW w:type="dxa" w:w="1108"/>
          </w:tcPr>
          <w:p>
            <w:r>
              <w:rPr>
                <w:sz w:val="17"/>
              </w:rPr>
              <w:t>Supply</w:t>
            </w:r>
          </w:p>
        </w:tc>
        <w:tc>
          <w:tcPr>
            <w:tcW w:type="dxa" w:w="1108"/>
          </w:tcPr>
          <w:p>
            <w:r>
              <w:rPr>
                <w:sz w:val="17"/>
              </w:rPr>
              <w:t>Delivered capacity: heads to productive hours; plannable occupancy</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Pooling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32</w:t>
            </w:r>
          </w:p>
        </w:tc>
        <w:tc>
          <w:tcPr>
            <w:tcW w:type="dxa" w:w="1108"/>
          </w:tcPr>
          <w:p>
            <w:r>
              <w:rPr>
                <w:sz w:val="17"/>
              </w:rPr>
              <w:t>Supply</w:t>
            </w:r>
          </w:p>
        </w:tc>
        <w:tc>
          <w:tcPr>
            <w:tcW w:type="dxa" w:w="1108"/>
          </w:tcPr>
          <w:p>
            <w:r>
              <w:rPr>
                <w:sz w:val="17"/>
              </w:rPr>
              <w:t>Attrition and backfill lead time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Attrition</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33</w:t>
            </w:r>
          </w:p>
        </w:tc>
        <w:tc>
          <w:tcPr>
            <w:tcW w:type="dxa" w:w="1108"/>
          </w:tcPr>
          <w:p>
            <w:r>
              <w:rPr>
                <w:sz w:val="17"/>
              </w:rPr>
              <w:t>Supply</w:t>
            </w:r>
          </w:p>
        </w:tc>
        <w:tc>
          <w:tcPr>
            <w:tcW w:type="dxa" w:w="1108"/>
          </w:tcPr>
          <w:p>
            <w:r>
              <w:rPr>
                <w:sz w:val="17"/>
              </w:rPr>
              <w:t>Eligibility, notice periods and transfer law (people moving)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Supply timing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34</w:t>
            </w:r>
          </w:p>
        </w:tc>
        <w:tc>
          <w:tcPr>
            <w:tcW w:type="dxa" w:w="1108"/>
          </w:tcPr>
          <w:p>
            <w:r>
              <w:rPr>
                <w:sz w:val="17"/>
              </w:rPr>
              <w:t>Governance</w:t>
            </w:r>
          </w:p>
        </w:tc>
        <w:tc>
          <w:tcPr>
            <w:tcW w:type="dxa" w:w="1108"/>
          </w:tcPr>
          <w:p>
            <w:r>
              <w:rPr>
                <w:sz w:val="17"/>
              </w:rPr>
              <w:t>Client told what will change</w:t>
            </w:r>
          </w:p>
        </w:tc>
        <w:tc>
          <w:tcPr>
            <w:tcW w:type="dxa" w:w="1108"/>
          </w:tcPr>
          <w:p>
            <w:r>
              <w:rPr>
                <w:sz w:val="17"/>
              </w:rPr>
              <w:t>—</w:t>
            </w:r>
          </w:p>
        </w:tc>
        <w:tc>
          <w:tcPr>
            <w:tcW w:type="dxa" w:w="1108"/>
          </w:tcPr>
          <w:p>
            <w:r>
              <w:rPr>
                <w:sz w:val="17"/>
              </w:rPr>
              <w:t>Not yet</w:t>
            </w:r>
          </w:p>
        </w:tc>
        <w:tc>
          <w:tcPr>
            <w:tcW w:type="dxa" w:w="1108"/>
          </w:tcPr>
          <w:p>
            <w:r>
              <w:rPr>
                <w:sz w:val="17"/>
              </w:rPr>
              <w:t>Unknown</w:t>
            </w:r>
          </w:p>
        </w:tc>
        <w:tc>
          <w:tcPr>
            <w:tcW w:type="dxa" w:w="1108"/>
          </w:tcPr>
          <w:p>
            <w:r>
              <w:rPr>
                <w:sz w:val="17"/>
              </w:rPr>
              <w:t>CPT / volume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Open</w:t>
            </w:r>
          </w:p>
        </w:tc>
        <w:tc>
          <w:tcPr>
            <w:tcW w:type="dxa" w:w="1108"/>
          </w:tcPr>
          <w:p>
            <w:r>
              <w:rPr>
                <w:sz w:val="17"/>
              </w:rPr>
              <w:t>sponsor</w:t>
            </w:r>
          </w:p>
        </w:tc>
        <w:tc>
          <w:tcPr>
            <w:tcW w:type="dxa" w:w="1108"/>
          </w:tcPr>
          <w:p>
            <w:r>
              <w:rPr>
                <w:sz w:val="17"/>
              </w:rPr>
              <w:t>2026-10-20</w:t>
            </w:r>
          </w:p>
        </w:tc>
      </w:tr>
      <w:tr>
        <w:tc>
          <w:tcPr>
            <w:tcW w:type="dxa" w:w="1108"/>
          </w:tcPr>
          <w:p>
            <w:r>
              <w:rPr>
                <w:sz w:val="17"/>
              </w:rPr>
              <w:t>35</w:t>
            </w:r>
          </w:p>
        </w:tc>
        <w:tc>
          <w:tcPr>
            <w:tcW w:type="dxa" w:w="1108"/>
          </w:tcPr>
          <w:p>
            <w:r>
              <w:rPr>
                <w:sz w:val="17"/>
              </w:rPr>
              <w:t>Governance</w:t>
            </w:r>
          </w:p>
        </w:tc>
        <w:tc>
          <w:tcPr>
            <w:tcW w:type="dxa" w:w="1108"/>
          </w:tcPr>
          <w:p>
            <w:r>
              <w:rPr>
                <w:sz w:val="17"/>
              </w:rPr>
              <w:t>Incoming plan laid against the outgoing plan before go-live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Several</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r>
        <w:tc>
          <w:tcPr>
            <w:tcW w:type="dxa" w:w="1108"/>
          </w:tcPr>
          <w:p>
            <w:r>
              <w:rPr>
                <w:sz w:val="17"/>
              </w:rPr>
              <w:t>36</w:t>
            </w:r>
          </w:p>
        </w:tc>
        <w:tc>
          <w:tcPr>
            <w:tcW w:type="dxa" w:w="1108"/>
          </w:tcPr>
          <w:p>
            <w:r>
              <w:rPr>
                <w:sz w:val="17"/>
              </w:rPr>
              <w:t>Governance</w:t>
            </w:r>
          </w:p>
        </w:tc>
        <w:tc>
          <w:tcPr>
            <w:tcW w:type="dxa" w:w="1108"/>
          </w:tcPr>
          <w:p>
            <w:r>
              <w:rPr>
                <w:sz w:val="17"/>
              </w:rPr>
              <w:t>Buffer for other clients in the same wave</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t>Supply timing</w:t>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c>
          <w:tcPr>
            <w:tcW w:type="dxa" w:w="1108"/>
          </w:tcPr>
          <w:p>
            <w:r>
              <w:rPr>
                <w:sz w:val="17"/>
              </w:rPr>
            </w:r>
          </w:p>
        </w:tc>
      </w:tr>
    </w:tbl>
    <w:sectPr w:rsidR="00FC693F" w:rsidRPr="0006063C" w:rsidSect="00034616">
      <w:pgSz w:w="15840" w:h="12240" w:orient="landscape"/>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As of 2026-10-06 · page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175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17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175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migration› — assumptions readout</dc:title>
  <dc:subject/>
  <dc:creator>WFM Labs</dc:creator>
  <cp:keywords/>
  <dc:description>generated by python-docx</dc:description>
  <cp:lastModifiedBy>WFM Labs</cp:lastModifiedBy>
  <cp:revision>1</cp:revision>
  <dcterms:created xsi:type="dcterms:W3CDTF">2013-12-23T23:15:00Z</dcterms:created>
  <dcterms:modified xsi:type="dcterms:W3CDTF">2013-12-23T23:15:00Z</dcterms:modified>
  <cp:category/>
</cp:coreProperties>
</file>